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keepLines/>
        <w:keepNext/>
        <w:spacing w:line="240" w:lineRule="auto"/>
        <w:rPr>
          <w:rFonts w:eastAsia="Calibri"/>
          <w:b/>
          <w:bCs/>
          <w:sz w:val="25"/>
          <w:szCs w:val="25"/>
        </w:rPr>
      </w:pPr>
      <w:r>
        <w:rPr>
          <w:rFonts w:eastAsia="Calibri"/>
          <w:b/>
          <w:bCs/>
          <w:sz w:val="25"/>
          <w:szCs w:val="25"/>
        </w:rPr>
        <w:t xml:space="preserve">Технические требования на оказание услуг</w:t>
      </w:r>
      <w:r>
        <w:rPr>
          <w:rFonts w:eastAsia="Calibri"/>
          <w:b/>
          <w:bCs/>
          <w:sz w:val="25"/>
          <w:szCs w:val="25"/>
        </w:rPr>
      </w:r>
      <w:r>
        <w:rPr>
          <w:rFonts w:eastAsia="Calibri"/>
          <w:b/>
          <w:bCs/>
          <w:sz w:val="25"/>
          <w:szCs w:val="25"/>
        </w:rPr>
      </w:r>
    </w:p>
    <w:p>
      <w:pPr>
        <w:jc w:val="both"/>
        <w:spacing w:line="240" w:lineRule="auto"/>
        <w:widowControl w:val="off"/>
        <w:tabs>
          <w:tab w:val="left" w:pos="426" w:leader="none"/>
        </w:tabs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«ОКПД2 33.12.11.004 оказание услуг по </w:t>
      </w:r>
      <w:r>
        <w:rPr>
          <w:b/>
          <w:bCs/>
          <w:sz w:val="25"/>
          <w:szCs w:val="25"/>
        </w:rPr>
        <w:t xml:space="preserve">виброобследованию</w:t>
      </w:r>
      <w:r>
        <w:rPr>
          <w:b/>
          <w:bCs/>
          <w:sz w:val="25"/>
          <w:szCs w:val="25"/>
        </w:rPr>
        <w:t xml:space="preserve"> турбоагрегатов ст.№1,2,3 и вспомогательного оборудования на территории структурного подразделения 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left="-284"/>
        <w:jc w:val="both"/>
        <w:spacing w:line="240" w:lineRule="auto"/>
        <w:widowControl w:val="off"/>
        <w:tabs>
          <w:tab w:val="left" w:pos="426" w:leader="none"/>
        </w:tabs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«</w:t>
      </w:r>
      <w:r>
        <w:rPr>
          <w:b/>
          <w:bCs/>
          <w:sz w:val="25"/>
          <w:szCs w:val="25"/>
        </w:rPr>
        <w:t xml:space="preserve">Нерюнгринская</w:t>
      </w:r>
      <w:r>
        <w:rPr>
          <w:b/>
          <w:bCs/>
          <w:sz w:val="25"/>
          <w:szCs w:val="25"/>
        </w:rPr>
        <w:t xml:space="preserve"> ГРЭС», </w:t>
      </w:r>
      <w:r>
        <w:rPr>
          <w:b/>
          <w:bCs/>
          <w:spacing w:val="2"/>
          <w:sz w:val="25"/>
          <w:szCs w:val="25"/>
          <w:shd w:val="clear" w:color="auto" w:fill="ffffff"/>
        </w:rPr>
        <w:t xml:space="preserve">Республика Саха (Якутия), г. Нерюнгри, пос. Серебряный Бор</w:t>
      </w:r>
      <w:r>
        <w:rPr>
          <w:b/>
          <w:bCs/>
          <w:sz w:val="25"/>
          <w:szCs w:val="25"/>
        </w:rPr>
        <w:t xml:space="preserve">»</w:t>
      </w:r>
      <w:r>
        <w:rPr>
          <w:b/>
          <w:bCs/>
          <w:sz w:val="25"/>
          <w:szCs w:val="25"/>
        </w:rPr>
        <w:t xml:space="preserve">.</w:t>
      </w:r>
      <w:r>
        <w:rPr>
          <w:b/>
          <w:bCs/>
          <w:sz w:val="25"/>
          <w:szCs w:val="25"/>
        </w:rPr>
      </w:r>
    </w:p>
    <w:p>
      <w:pPr>
        <w:jc w:val="center"/>
        <w:keepLines/>
        <w:keepNext/>
        <w:spacing w:line="240" w:lineRule="auto"/>
        <w:rPr>
          <w:rFonts w:eastAsia="Calibri"/>
          <w:b/>
          <w:bCs/>
          <w:sz w:val="25"/>
          <w:szCs w:val="25"/>
        </w:rPr>
      </w:pPr>
      <w:r>
        <w:rPr>
          <w:rFonts w:eastAsia="Calibri"/>
          <w:b/>
          <w:bCs/>
          <w:sz w:val="25"/>
          <w:szCs w:val="25"/>
        </w:rPr>
        <w:t xml:space="preserve">Лот № </w:t>
      </w:r>
      <w:r>
        <w:rPr>
          <w:b/>
          <w:bCs/>
          <w:sz w:val="25"/>
          <w:szCs w:val="25"/>
        </w:rPr>
        <w:t xml:space="preserve">41023027-ЭКСП ПРОД-2026-ДГК-НерГРЭС</w:t>
      </w:r>
      <w:r>
        <w:rPr>
          <w:rFonts w:eastAsia="Calibri"/>
          <w:b/>
          <w:bCs/>
          <w:sz w:val="25"/>
          <w:szCs w:val="25"/>
        </w:rPr>
      </w:r>
      <w:r>
        <w:rPr>
          <w:rFonts w:eastAsia="Calibri"/>
          <w:b/>
          <w:bCs/>
          <w:sz w:val="25"/>
          <w:szCs w:val="25"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</w:p>
    <w:p>
      <w:pPr>
        <w:jc w:val="both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b/>
          <w:bCs/>
          <w:highlight w:val="none"/>
        </w:rPr>
      </w:pPr>
      <w:r>
        <w:rPr>
          <w:b/>
        </w:rPr>
        <w:t xml:space="preserve">СОДЕРЖАНИЕ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rPr>
          <w:b/>
          <w:bCs/>
        </w:rPr>
      </w:pPr>
      <w:r>
        <w:rPr>
          <w:b/>
          <w:highlight w:val="none"/>
        </w:rPr>
      </w:r>
      <w:r>
        <w:rPr>
          <w:b/>
          <w:bCs/>
        </w:rPr>
      </w:r>
      <w:r>
        <w:rPr>
          <w:b/>
          <w:bCs/>
        </w:rPr>
      </w:r>
    </w:p>
    <w:tbl>
      <w:tblPr>
        <w:tblStyle w:val="937"/>
        <w:tblW w:w="0" w:type="auto"/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8362"/>
        <w:gridCol w:w="42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textDirection w:val="lrTb"/>
            <w:noWrap w:val="false"/>
          </w:tcPr>
          <w:p>
            <w:pPr>
              <w:jc w:val="right"/>
              <w:keepLines/>
              <w:keepNext/>
              <w:rPr>
                <w:rFonts w:ascii="Times New Roman" w:hAnsi="Times New Roman" w:cs="Times New Roman"/>
                <w:b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 w:cs="Times New Roman"/>
                <w:b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 w:val="0"/>
                <w:i w:val="0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cs="Times New Roman"/>
                <w:b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  <w:t xml:space="preserve">Общие сведения...................................................................................................................................................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b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 w:val="0"/>
                <w:i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textDirection w:val="lrTb"/>
            <w:noWrap w:val="false"/>
          </w:tcPr>
          <w:p>
            <w:pPr>
              <w:jc w:val="center"/>
              <w:keepLines/>
              <w:keepNext/>
              <w:rPr>
                <w:rFonts w:ascii="Times New Roman" w:hAnsi="Times New Roman" w:cs="Times New Roman"/>
                <w:b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 w:val="0"/>
                <w:i w:val="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textDirection w:val="lrTb"/>
            <w:noWrap w:val="false"/>
          </w:tcPr>
          <w:p>
            <w:pPr>
              <w:jc w:val="right"/>
              <w:keepLines/>
              <w:keepNext/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62" w:type="dxa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Обозначения и сокращения...................................................................................................................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textDirection w:val="lrTb"/>
            <w:noWrap w:val="false"/>
          </w:tcPr>
          <w:p>
            <w:pPr>
              <w:jc w:val="center"/>
              <w:keepLines/>
              <w:keepNext/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textDirection w:val="lrTb"/>
            <w:noWrap w:val="false"/>
          </w:tcPr>
          <w:p>
            <w:pPr>
              <w:jc w:val="right"/>
              <w:keepLines/>
              <w:keepNext/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62" w:type="dxa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Наименование закупаемой продукции.................................................................................................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textDirection w:val="lrTb"/>
            <w:noWrap w:val="false"/>
          </w:tcPr>
          <w:p>
            <w:pPr>
              <w:jc w:val="center"/>
              <w:keepLines/>
              <w:keepNext/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</w:p>
        </w:tc>
      </w:tr>
      <w:tr>
        <w:tblPrEx/>
        <w:trPr>
          <w:trHeight w:val="263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textDirection w:val="lrTb"/>
            <w:noWrap w:val="false"/>
          </w:tcPr>
          <w:p>
            <w:pPr>
              <w:jc w:val="right"/>
              <w:keepLines/>
              <w:keepNext/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62" w:type="dxa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Цель оказания услуг 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textDirection w:val="lrTb"/>
            <w:noWrap w:val="false"/>
          </w:tcPr>
          <w:p>
            <w:pPr>
              <w:jc w:val="center"/>
              <w:keepLines/>
              <w:keepNext/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textDirection w:val="lrTb"/>
            <w:noWrap w:val="false"/>
          </w:tcPr>
          <w:p>
            <w:pPr>
              <w:jc w:val="right"/>
              <w:keepLines/>
              <w:keepNext/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Таблица 1. Перечень объектов заказчика...........................................................................................................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textDirection w:val="lrTb"/>
            <w:noWrap w:val="false"/>
          </w:tcPr>
          <w:p>
            <w:pPr>
              <w:jc w:val="center"/>
              <w:keepLines/>
              <w:keepNext/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textDirection w:val="lrTb"/>
            <w:noWrap w:val="false"/>
          </w:tcPr>
          <w:p>
            <w:pPr>
              <w:jc w:val="right"/>
              <w:keepLines/>
              <w:keepNext/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cs="Times New Roman"/>
                <w:b w:val="0"/>
                <w:bCs w:val="0"/>
                <w:i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1.4.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62" w:type="dxa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cs="Times New Roman"/>
                <w:b w:val="0"/>
                <w:bCs w:val="0"/>
                <w:i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Информация в отношении исполнения договора................................................................................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textDirection w:val="lrTb"/>
            <w:noWrap w:val="false"/>
          </w:tcPr>
          <w:p>
            <w:pPr>
              <w:jc w:val="center"/>
              <w:keepLines/>
              <w:keepNext/>
              <w:rPr>
                <w:rFonts w:ascii="Times New Roman" w:hAnsi="Times New Roman" w:cs="Times New Roman"/>
                <w:b w:val="0"/>
                <w:bCs w:val="0"/>
                <w:i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textDirection w:val="lrTb"/>
            <w:noWrap w:val="false"/>
          </w:tcPr>
          <w:p>
            <w:pPr>
              <w:jc w:val="right"/>
              <w:keepLines/>
              <w:keepNext/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  <w:t xml:space="preserve">Требования к продукции...................................................................................................................................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textDirection w:val="lrTb"/>
            <w:noWrap w:val="false"/>
          </w:tcPr>
          <w:p>
            <w:pPr>
              <w:jc w:val="center"/>
              <w:keepLines/>
              <w:keepNext/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textDirection w:val="lrTb"/>
            <w:noWrap w:val="false"/>
          </w:tcPr>
          <w:p>
            <w:pPr>
              <w:jc w:val="right"/>
              <w:keepLines/>
              <w:keepNext/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62" w:type="dxa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Требования к объемам и срокам оказания услуг.................................................................................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textDirection w:val="lrTb"/>
            <w:noWrap w:val="false"/>
          </w:tcPr>
          <w:p>
            <w:pPr>
              <w:jc w:val="center"/>
              <w:keepLines/>
              <w:keepNext/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righ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2.1.1.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62" w:type="dxa"/>
            <w:vMerge w:val="restart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Требования к перечню и объемам услуг..............................................................................................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center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righ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vMerge w:val="restart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Таблица 2. Перечень и объем оказываемых услуг............................................................................................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center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righ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2.1.2.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62" w:type="dxa"/>
            <w:vMerge w:val="restart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Требования к срокам оказания услуг....................................................................................................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center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righ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vMerge w:val="restart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Таблица 3. Требования по срокам оказания услуг............................................................................................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center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righ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62" w:type="dxa"/>
            <w:vMerge w:val="restart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Требования к качеству оказанных услуг..............................................................................................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center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righ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vMerge w:val="restart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Таблица 4. Требования к качеству оказанных услуг.........................................................................................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center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right"/>
              <w:keepLines/>
              <w:keepNext/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  <w:t xml:space="preserve">3.</w:t>
            </w: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vMerge w:val="restart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  <w:t xml:space="preserve">Требования к документации по ценообразованию на этапе закупки......................................................</w:t>
            </w: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center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righ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3.1.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62" w:type="dxa"/>
            <w:vMerge w:val="restart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В обоснование стоимости......................................................................................................................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center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righ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3.2.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62" w:type="dxa"/>
            <w:vMerge w:val="restart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Дополнительные документы по ценообразованию.............................................................................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center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right"/>
              <w:keepLines/>
              <w:keepNext/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  <w:t xml:space="preserve">4.</w:t>
            </w: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vMerge w:val="restart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  <w:t xml:space="preserve">Требования к документации по ценообразованию на этапе заключения (исполнения) договора.....</w:t>
            </w: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center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righ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4.1.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62" w:type="dxa"/>
            <w:vMerge w:val="restart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Требования к составлению сметной документации............................................................................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center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righ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4.1.1.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62" w:type="dxa"/>
            <w:vMerge w:val="restart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Сметная документация разрабатывается исполнителем.....................................................................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center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right"/>
              <w:keepLines/>
              <w:keepNext/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  <w:t xml:space="preserve">5.</w:t>
            </w: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vMerge w:val="restart"/>
            <w:textDirection w:val="lrTb"/>
            <w:noWrap w:val="false"/>
          </w:tcPr>
          <w:p>
            <w:pPr>
              <w:jc w:val="left"/>
              <w:keepLines/>
              <w:keepNext/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  <w:t xml:space="preserve">Приложения.........................................................................................................................................................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jc w:val="center"/>
              <w:keepLines/>
              <w:keepNext/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EastAsia"/>
                <w:b/>
                <w:bCs/>
                <w:i w:val="0"/>
                <w:iCs w:val="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EastAsia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</w:tr>
    </w:tbl>
    <w:p>
      <w:pPr>
        <w:shd w:val="nil" w:color="auto"/>
        <w:rPr>
          <w:caps/>
        </w:rPr>
      </w:pPr>
      <w:r>
        <w:rPr>
          <w:bCs/>
          <w:caps/>
          <w:highlight w:val="none"/>
        </w:rPr>
        <w:br w:type="page" w:clear="all"/>
      </w:r>
      <w:r>
        <w:rPr>
          <w:caps/>
        </w:rPr>
      </w:r>
      <w:r>
        <w:rPr>
          <w:caps/>
        </w:rPr>
      </w:r>
    </w:p>
    <w:p>
      <w:pPr>
        <w:pStyle w:val="749"/>
        <w:ind w:left="357" w:hanging="357"/>
        <w:jc w:val="center"/>
        <w:keepLines/>
        <w:rPr>
          <w:bCs/>
          <w:caps/>
        </w:rPr>
      </w:pPr>
      <w:r/>
      <w:bookmarkStart w:id="0" w:name="_Toc51339692"/>
      <w:r/>
      <w:bookmarkStart w:id="1" w:name="_Toc147991626"/>
      <w:r>
        <w:rPr>
          <w:rFonts w:eastAsiaTheme="minorEastAsia"/>
          <w:bCs/>
        </w:rPr>
        <w:t xml:space="preserve">Общие сведения</w:t>
      </w:r>
      <w:bookmarkEnd w:id="0"/>
      <w:r/>
      <w:bookmarkEnd w:id="1"/>
      <w:r>
        <w:rPr>
          <w:bCs/>
          <w:caps/>
        </w:rPr>
      </w:r>
      <w:r>
        <w:rPr>
          <w:bCs/>
          <w:caps/>
        </w:rPr>
      </w:r>
    </w:p>
    <w:p>
      <w:pPr>
        <w:pStyle w:val="752"/>
        <w:rPr>
          <w:bCs w:val="0"/>
        </w:rPr>
      </w:pPr>
      <w:r/>
      <w:bookmarkStart w:id="2" w:name="_Toc46743505"/>
      <w:r/>
      <w:bookmarkStart w:id="3" w:name="_Toc147991627"/>
      <w:r>
        <w:rPr>
          <w:rFonts w:eastAsiaTheme="minorEastAsia"/>
        </w:rPr>
        <w:t xml:space="preserve">Обозначения и сокращения</w:t>
      </w:r>
      <w:bookmarkEnd w:id="2"/>
      <w:r/>
      <w:bookmarkEnd w:id="3"/>
      <w:r>
        <w:rPr>
          <w:bCs w:val="0"/>
        </w:rPr>
      </w:r>
      <w:r>
        <w:rPr>
          <w:bCs w:val="0"/>
        </w:rPr>
      </w:r>
    </w:p>
    <w:p>
      <w:pPr>
        <w:rPr>
          <w:rStyle w:val="1011"/>
          <w:b w:val="0"/>
          <w:bCs/>
          <w:iCs/>
          <w:sz w:val="26"/>
          <w:szCs w:val="26"/>
        </w:rPr>
      </w:pPr>
      <w:r>
        <w:rPr>
          <w:b w:val="0"/>
          <w:bCs/>
          <w:iCs/>
          <w:sz w:val="26"/>
          <w:szCs w:val="26"/>
        </w:rPr>
      </w:r>
      <w:r>
        <w:rPr>
          <w:rStyle w:val="1011"/>
          <w:b w:val="0"/>
          <w:bCs/>
          <w:iCs/>
          <w:sz w:val="26"/>
          <w:szCs w:val="26"/>
        </w:rPr>
      </w:r>
      <w:r>
        <w:rPr>
          <w:rStyle w:val="1011"/>
          <w:b w:val="0"/>
          <w:bCs/>
          <w:iCs/>
          <w:sz w:val="26"/>
          <w:szCs w:val="26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57"/>
        <w:gridCol w:w="7726"/>
      </w:tblGrid>
      <w:tr>
        <w:tblPrEx/>
        <w:trPr>
          <w:cantSplit/>
          <w:jc w:val="center"/>
        </w:trPr>
        <w:tc>
          <w:tcPr>
            <w:tcBorders>
              <w:bottom w:val="single" w:color="auto" w:sz="4" w:space="0"/>
            </w:tcBorders>
            <w:tcW w:w="2057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ТТ</w:t>
            </w: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</w:p>
        </w:tc>
        <w:tc>
          <w:tcPr>
            <w:tcW w:w="7726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Технические требования</w:t>
            </w: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ffffff"/>
            <w:tcW w:w="2057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АО «ДГК»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shd w:val="clear" w:color="auto" w:fill="ffffff"/>
            <w:tcW w:w="7726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Акционерное общество «Дальневосточная генерирующая компания»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jc w:val="center"/>
          <w:trHeight w:val="396"/>
        </w:trPr>
        <w:tc>
          <w:tcPr>
            <w:shd w:val="clear" w:color="ffffff" w:fill="ffffff"/>
            <w:tcW w:w="2057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СП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7726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Структурное подразделение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jc w:val="center"/>
          <w:trHeight w:val="396"/>
        </w:trPr>
        <w:tc>
          <w:tcPr>
            <w:shd w:val="clear" w:color="ffffff" w:fill="ffffff"/>
            <w:tcW w:w="2057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  <w:tab w:val="center" w:pos="784" w:leader="none"/>
              </w:tabs>
              <w:rPr>
                <w:iCs/>
                <w:sz w:val="24"/>
                <w:szCs w:val="24"/>
                <w:highlight w:val="yellow"/>
              </w:rPr>
            </w:pPr>
            <w:r>
              <w:rPr>
                <w:iCs/>
                <w:sz w:val="24"/>
                <w:szCs w:val="24"/>
              </w:rPr>
              <w:t xml:space="preserve">НТД</w:t>
            </w:r>
            <w:r>
              <w:rPr>
                <w:iCs/>
                <w:sz w:val="24"/>
                <w:szCs w:val="24"/>
              </w:rPr>
              <w:tab/>
            </w:r>
            <w:r>
              <w:rPr>
                <w:iCs/>
                <w:sz w:val="24"/>
                <w:szCs w:val="24"/>
                <w:highlight w:val="yellow"/>
              </w:rPr>
            </w:r>
            <w:r>
              <w:rPr>
                <w:iCs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7726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Нормативно-техническая документация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jc w:val="center"/>
          <w:trHeight w:val="396"/>
        </w:trPr>
        <w:tc>
          <w:tcPr>
            <w:shd w:val="clear" w:color="ffffff" w:fill="ffffff"/>
            <w:tcW w:w="2057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СП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7726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Свод правил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jc w:val="center"/>
          <w:trHeight w:val="396"/>
        </w:trPr>
        <w:tc>
          <w:tcPr>
            <w:shd w:val="clear" w:color="ffffff" w:fill="ffffff"/>
            <w:tcW w:w="2057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7726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Стандарт организации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jc w:val="center"/>
          <w:trHeight w:val="396"/>
        </w:trPr>
        <w:tc>
          <w:tcPr>
            <w:shd w:val="clear" w:color="ffffff" w:fill="ffffff"/>
            <w:tcW w:w="2057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РД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7726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Рабочая документация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shd w:val="clear" w:color="ffffff" w:fill="ffffff"/>
            <w:tcW w:w="2057" w:type="dxa"/>
            <w:vMerge w:val="restart"/>
            <w:textDirection w:val="lrTb"/>
            <w:noWrap w:val="false"/>
          </w:tcPr>
          <w:p>
            <w:pPr>
              <w:jc w:val="left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  <w:t xml:space="preserve">СДАНК-01-2020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7726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  <w:t xml:space="preserve">Правила аттестации и основные требования к лабораториям неразрушающего контроля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rFonts w:asciiTheme="minorHAnsi" w:hAnsiTheme="minorHAnsi" w:eastAsiaTheme="minorEastAsia" w:cstheme="majorHAnsi"/>
          <w:sz w:val="24"/>
          <w:szCs w:val="24"/>
        </w:rPr>
        <w:br w:type="page" w:clear="all"/>
      </w:r>
      <w:bookmarkStart w:id="4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2"/>
      </w:pPr>
      <w:r/>
      <w:bookmarkStart w:id="5" w:name="_Toc147991628"/>
      <w:r>
        <w:rPr>
          <w:rFonts w:eastAsiaTheme="minorEastAsia"/>
        </w:rPr>
        <w:t xml:space="preserve">Наименование закупаемой продукции</w:t>
      </w:r>
      <w:bookmarkEnd w:id="4"/>
      <w:r/>
      <w:bookmarkEnd w:id="5"/>
      <w:r/>
      <w:r/>
    </w:p>
    <w:p>
      <w:pPr>
        <w:ind w:firstLine="709"/>
        <w:jc w:val="both"/>
        <w:spacing w:line="276" w:lineRule="auto"/>
        <w:widowControl w:val="off"/>
        <w:rPr>
          <w:sz w:val="24"/>
          <w:szCs w:val="24"/>
        </w:rPr>
      </w:pPr>
      <w:r/>
      <w:bookmarkStart w:id="6" w:name="_Toc46743507"/>
      <w:r/>
      <w:bookmarkStart w:id="7" w:name="_Toc147991630"/>
      <w:r>
        <w:rPr>
          <w:sz w:val="24"/>
          <w:szCs w:val="24"/>
        </w:rPr>
        <w:t xml:space="preserve">ОКПД2 33.12.11.004</w:t>
      </w:r>
      <w:r>
        <w:rPr>
          <w:rFonts w:eastAsiaTheme="minorEastAsia"/>
          <w:sz w:val="24"/>
          <w:szCs w:val="24"/>
        </w:rPr>
        <w:t xml:space="preserve"> Оказание услуг по </w:t>
      </w:r>
      <w:r>
        <w:rPr>
          <w:rFonts w:eastAsiaTheme="minorEastAsia"/>
          <w:sz w:val="24"/>
          <w:szCs w:val="24"/>
        </w:rPr>
        <w:t xml:space="preserve">виброобследованию</w:t>
      </w:r>
      <w:r>
        <w:rPr>
          <w:rFonts w:eastAsiaTheme="minor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турбоагрегатов ст.№1,2,3 и </w:t>
      </w:r>
      <w:r>
        <w:rPr>
          <w:rFonts w:eastAsiaTheme="minorEastAsia"/>
          <w:sz w:val="24"/>
          <w:szCs w:val="24"/>
        </w:rPr>
        <w:t xml:space="preserve">вспомогательного оборудования на территории структурного подразделения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Нерюнгринская</w:t>
      </w:r>
      <w:r>
        <w:rPr>
          <w:sz w:val="24"/>
          <w:szCs w:val="24"/>
        </w:rPr>
        <w:t xml:space="preserve"> ГРЭС», </w:t>
      </w:r>
      <w:r>
        <w:rPr>
          <w:spacing w:val="2"/>
          <w:sz w:val="24"/>
          <w:szCs w:val="24"/>
          <w:shd w:val="clear" w:color="auto" w:fill="ffffff"/>
        </w:rPr>
        <w:t xml:space="preserve">Республика Саха (Якутия), г. Нерюнгри, пос. Серебряный Бор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276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2"/>
      </w:pPr>
      <w:r>
        <w:rPr>
          <w:rFonts w:eastAsiaTheme="minorEastAsia"/>
        </w:rPr>
        <w:t xml:space="preserve">Цель </w:t>
      </w:r>
      <w:bookmarkEnd w:id="6"/>
      <w:r>
        <w:rPr>
          <w:rFonts w:eastAsiaTheme="minorEastAsia"/>
        </w:rPr>
        <w:t xml:space="preserve">оказания услуг</w:t>
      </w:r>
      <w:bookmarkEnd w:id="7"/>
      <w:r>
        <w:rPr>
          <w:rFonts w:eastAsiaTheme="minorEastAsia"/>
        </w:rPr>
        <w:t xml:space="preserve"> </w:t>
      </w:r>
      <w:r/>
    </w:p>
    <w:p>
      <w:pPr>
        <w:ind w:firstLine="708"/>
        <w:jc w:val="both"/>
        <w:spacing w:line="276" w:lineRule="auto"/>
        <w:rPr>
          <w:rFonts w:eastAsia="Calibri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Определение состояния узлов вращения.</w:t>
      </w:r>
      <w:r>
        <w:rPr>
          <w:rFonts w:eastAsiaTheme="minorEastAsia"/>
        </w:rPr>
        <w:t xml:space="preserve"> </w:t>
      </w:r>
      <w:r>
        <w:rPr>
          <w:rFonts w:eastAsiaTheme="minorEastAsia"/>
          <w:sz w:val="24"/>
          <w:szCs w:val="24"/>
        </w:rPr>
        <w:t xml:space="preserve">Анализ вибрационного состояния оборудования в процессе эксплуатации, выдача технических заключений и рекомендаций, проведение технического аудита состояния оборудования</w:t>
      </w:r>
      <w:r>
        <w:rPr>
          <w:rFonts w:eastAsiaTheme="minorEastAsia"/>
          <w:sz w:val="24"/>
          <w:szCs w:val="24"/>
        </w:rPr>
        <w:t xml:space="preserve">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749"/>
        <w:numPr>
          <w:ilvl w:val="0"/>
          <w:numId w:val="0"/>
        </w:numPr>
        <w:keepLines/>
        <w:spacing w:before="240"/>
        <w:rPr>
          <w:szCs w:val="24"/>
        </w:rPr>
      </w:pPr>
      <w:r>
        <w:rPr>
          <w:sz w:val="24"/>
          <w:szCs w:val="24"/>
        </w:rPr>
        <w:t xml:space="preserve">Таблица 1. Перечень объектов заказчика</w:t>
      </w:r>
      <w:r>
        <w:rPr>
          <w:szCs w:val="24"/>
        </w:rPr>
      </w:r>
      <w:r>
        <w:rPr>
          <w:szCs w:val="24"/>
        </w:rPr>
      </w:r>
    </w:p>
    <w:p>
      <w:r/>
      <w:r/>
    </w:p>
    <w:tbl>
      <w:tblPr>
        <w:tblW w:w="99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1843"/>
        <w:gridCol w:w="2268"/>
        <w:gridCol w:w="3685"/>
        <w:gridCol w:w="1590"/>
      </w:tblGrid>
      <w:tr>
        <w:tblPrEx/>
        <w:trPr/>
        <w:tc>
          <w:tcPr>
            <w:tcW w:w="53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 xml:space="preserve"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 xml:space="preserve">(в отношении которого выполняются работы)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9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3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59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208"/>
        </w:trPr>
        <w:tc>
          <w:tcPr>
            <w:tcW w:w="533" w:type="dxa"/>
            <w:vAlign w:val="center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pPr>
              <w:jc w:val="center"/>
            </w:pPr>
            <w:r>
              <w:t xml:space="preserve">1.</w:t>
            </w:r>
            <w:r/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before="120" w:after="120"/>
              <w:widowControl w:val="off"/>
              <w:tabs>
                <w:tab w:val="left" w:pos="426" w:leader="none"/>
              </w:tabs>
            </w:pP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 xml:space="preserve">Виброобследование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турбоагрегатов ст.№1,2,3 и </w:t>
            </w:r>
            <w:r>
              <w:rPr>
                <w:rFonts w:eastAsiaTheme="minorEastAsia"/>
                <w:sz w:val="24"/>
                <w:szCs w:val="24"/>
              </w:rPr>
              <w:t xml:space="preserve">вспомогательного оборудования на территории СП </w:t>
            </w:r>
            <w:r>
              <w:rPr>
                <w:sz w:val="24"/>
                <w:szCs w:val="24"/>
              </w:rPr>
              <w:t xml:space="preserve">«</w:t>
            </w:r>
            <w:r>
              <w:rPr>
                <w:sz w:val="24"/>
                <w:szCs w:val="24"/>
              </w:rPr>
              <w:t xml:space="preserve">Нерюнгринская</w:t>
            </w:r>
            <w:r>
              <w:rPr>
                <w:sz w:val="24"/>
                <w:szCs w:val="24"/>
              </w:rPr>
              <w:t xml:space="preserve"> ГРЭС»</w:t>
            </w:r>
            <w:r/>
          </w:p>
        </w:tc>
        <w:tc>
          <w:tcPr>
            <w:shd w:val="clear" w:color="ffffff" w:fill="ffffff"/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Республика Саха (Якутия), </w:t>
            </w:r>
            <w:r>
              <w:rPr>
                <w:sz w:val="24"/>
              </w:rPr>
              <w:t xml:space="preserve">Нерюнгринский</w:t>
            </w:r>
            <w:r>
              <w:rPr>
                <w:sz w:val="24"/>
              </w:rPr>
              <w:t xml:space="preserve"> район, п. Серебряный Бор. СП «</w:t>
            </w:r>
            <w:r>
              <w:rPr>
                <w:sz w:val="24"/>
              </w:rPr>
              <w:t xml:space="preserve">Нерюнгринская</w:t>
            </w:r>
            <w:r>
              <w:rPr>
                <w:sz w:val="24"/>
              </w:rPr>
              <w:t xml:space="preserve"> ГРЭС» АО «ДГК»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jc w:val="center"/>
              <w:pPrChange w:id="0" w:author="lutfullina_ee" w:date="2026-04-13T02:04:00Z">
                <w:pPr/>
              </w:pPrChange>
            </w:pPr>
            <w:r>
              <w:rPr>
                <w:sz w:val="24"/>
                <w:szCs w:val="24"/>
              </w:rPr>
              <w:t xml:space="preserve">ТГ-1, ТГ-2, ТГ-3. Вспомогательное оборудование ТА-1,2,3 (КНБ, КЭН, ПЭН, ПМН, АМНУ, АМН, ЦН). Вспомогательное оборудование КА ТПЕ-214 СЗХЛ ст. № 1,2,3 (ДС, ДВ, ВПВ, ММТ, ВЭР). Сетевая установка (1СН-2,4; 2СН-6,7;</w:t>
            </w:r>
            <w:r/>
          </w:p>
        </w:tc>
        <w:tc>
          <w:tcPr>
            <w:shd w:val="clear" w:color="ffffff" w:fill="ffffff"/>
            <w:tcW w:w="1590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752"/>
        <w:jc w:val="both"/>
      </w:pPr>
      <w:r/>
      <w:bookmarkStart w:id="9" w:name="_Toc46743509"/>
      <w:r/>
      <w:bookmarkStart w:id="10" w:name="_Hlk49857604"/>
      <w:r/>
      <w:bookmarkStart w:id="11" w:name="_Toc147991631"/>
      <w:r>
        <w:rPr>
          <w:rFonts w:eastAsiaTheme="minorEastAsia"/>
        </w:rPr>
        <w:t xml:space="preserve">Информация в отношении исполнения договора, </w:t>
      </w:r>
      <w:bookmarkStart w:id="12" w:name="_Hlk46492347"/>
      <w:r>
        <w:rPr>
          <w:rFonts w:eastAsiaTheme="minorEastAsia"/>
        </w:rPr>
        <w:t xml:space="preserve">которая должна быть учтена при подготовке заявки </w:t>
      </w:r>
      <w:bookmarkEnd w:id="12"/>
      <w:r>
        <w:rPr>
          <w:rFonts w:eastAsiaTheme="minorEastAsia"/>
        </w:rPr>
        <w:t xml:space="preserve">(в том числе перечень ресурсов, услуг и документов, предоставляемых заказчиком на этапе исполнения договора)</w:t>
      </w:r>
      <w:bookmarkEnd w:id="9"/>
      <w:r/>
      <w:bookmarkEnd w:id="10"/>
      <w:r/>
      <w:bookmarkEnd w:id="11"/>
      <w:r>
        <w:rPr>
          <w:rFonts w:eastAsiaTheme="minorEastAsia"/>
        </w:rPr>
        <w:t xml:space="preserve"> </w:t>
      </w:r>
      <w:r/>
    </w:p>
    <w:p>
      <w:pPr>
        <w:pStyle w:val="752"/>
        <w:numPr>
          <w:ilvl w:val="0"/>
          <w:numId w:val="0"/>
        </w:numPr>
        <w:ind w:firstLine="567"/>
        <w:jc w:val="both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752"/>
        <w:numPr>
          <w:ilvl w:val="0"/>
          <w:numId w:val="0"/>
        </w:numPr>
        <w:ind w:firstLine="720"/>
        <w:jc w:val="both"/>
        <w:spacing w:before="0" w:beforeAutospacing="0" w:after="0" w:afterAutospacing="0" w:line="276" w:lineRule="auto"/>
        <w:rPr>
          <w:i/>
        </w:rPr>
        <w:suppressLineNumbers w:val="0"/>
      </w:pPr>
      <w:r/>
      <w:bookmarkStart w:id="13" w:name="_Toc136356454"/>
      <w:r/>
      <w:bookmarkStart w:id="14" w:name="_Toc147991632"/>
      <w:r>
        <w:rPr>
          <w:rFonts w:eastAsiaTheme="minorEastAsia"/>
          <w:b w:val="0"/>
        </w:rPr>
        <w:t xml:space="preserve">При наличии технической возможности у Заказчика, Заказчик может обеспечить Исполнителю возможность подключения к имеющимся бытовым источникам электроснабжения, водоснабжения, канализации для целей выполнения Работ по Договору</w:t>
      </w:r>
      <w:r>
        <w:rPr>
          <w:rFonts w:eastAsiaTheme="minorEastAsia"/>
          <w:i/>
        </w:rPr>
        <w:t xml:space="preserve">.</w:t>
      </w:r>
      <w:bookmarkEnd w:id="13"/>
      <w:r/>
      <w:bookmarkEnd w:id="14"/>
      <w:r>
        <w:rPr>
          <w:i/>
        </w:rPr>
      </w:r>
      <w:r>
        <w:rPr>
          <w:i/>
        </w:rPr>
      </w:r>
    </w:p>
    <w:p>
      <w:pPr>
        <w:ind w:firstLine="720"/>
        <w:jc w:val="both"/>
        <w:spacing w:before="0" w:beforeAutospacing="0" w:after="0" w:afterAutospacing="0" w:line="276" w:lineRule="auto"/>
        <w:tabs>
          <w:tab w:val="left" w:pos="0" w:leader="none"/>
          <w:tab w:val="left" w:pos="709" w:leader="none"/>
          <w:tab w:val="left" w:pos="1418" w:leader="none"/>
        </w:tabs>
        <w:rPr>
          <w:rFonts w:eastAsia="MS Mincho"/>
          <w:sz w:val="24"/>
          <w:szCs w:val="24"/>
        </w:rPr>
        <w:suppressLineNumbers w:val="0"/>
      </w:pPr>
      <w:r>
        <w:rPr>
          <w:rFonts w:eastAsiaTheme="minorEastAsia"/>
          <w:sz w:val="24"/>
          <w:szCs w:val="24"/>
        </w:rPr>
        <w:t xml:space="preserve">Изготовление (по эскизам Исполнителя) и установка балансировочных грузов при балансировке производится силами Заказчика или привлеченной ремонтной организацией.</w:t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1418" w:leader="none"/>
        </w:tabs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</w:r>
      <w:r>
        <w:rPr>
          <w:rFonts w:eastAsia="MS Mincho"/>
          <w:sz w:val="24"/>
          <w:szCs w:val="24"/>
          <w:lang w:eastAsia="ja-JP"/>
        </w:rPr>
      </w:r>
      <w:r>
        <w:rPr>
          <w:rFonts w:eastAsia="MS Mincho"/>
          <w:sz w:val="24"/>
          <w:szCs w:val="24"/>
          <w:lang w:eastAsia="ja-JP"/>
        </w:rPr>
      </w:r>
    </w:p>
    <w:p>
      <w:pPr>
        <w:jc w:val="both"/>
        <w:tabs>
          <w:tab w:val="left" w:pos="0" w:leader="none"/>
          <w:tab w:val="left" w:pos="709" w:leader="none"/>
          <w:tab w:val="left" w:pos="1418" w:leader="none"/>
        </w:tabs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</w:r>
      <w:r>
        <w:rPr>
          <w:rFonts w:eastAsia="MS Mincho"/>
          <w:sz w:val="24"/>
          <w:szCs w:val="24"/>
          <w:lang w:eastAsia="ja-JP"/>
        </w:rPr>
      </w:r>
      <w:r>
        <w:rPr>
          <w:rFonts w:eastAsia="MS Mincho"/>
          <w:sz w:val="24"/>
          <w:szCs w:val="24"/>
          <w:lang w:eastAsia="ja-JP"/>
        </w:rPr>
      </w:r>
    </w:p>
    <w:p>
      <w:pPr>
        <w:jc w:val="both"/>
        <w:tabs>
          <w:tab w:val="left" w:pos="0" w:leader="none"/>
          <w:tab w:val="left" w:pos="709" w:leader="none"/>
          <w:tab w:val="left" w:pos="1418" w:leader="none"/>
        </w:tabs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</w:r>
      <w:r>
        <w:rPr>
          <w:rFonts w:eastAsia="MS Mincho"/>
          <w:sz w:val="24"/>
          <w:szCs w:val="24"/>
          <w:lang w:eastAsia="ja-JP"/>
        </w:rPr>
      </w:r>
      <w:r>
        <w:rPr>
          <w:rFonts w:eastAsia="MS Mincho"/>
          <w:sz w:val="24"/>
          <w:szCs w:val="24"/>
          <w:lang w:eastAsia="ja-JP"/>
        </w:rPr>
      </w:r>
    </w:p>
    <w:p>
      <w:pPr>
        <w:pStyle w:val="749"/>
        <w:ind w:left="357" w:hanging="357"/>
        <w:jc w:val="center"/>
        <w:keepLines/>
        <w:rPr>
          <w:iCs/>
          <w:caps/>
        </w:rPr>
      </w:pPr>
      <w:r>
        <w:rPr>
          <w:iCs/>
        </w:rPr>
        <w:t xml:space="preserve">Требования к продукции</w:t>
      </w:r>
      <w:r>
        <w:rPr>
          <w:iCs/>
          <w:caps/>
        </w:rPr>
      </w:r>
      <w:r>
        <w:rPr>
          <w:iCs/>
          <w:caps/>
        </w:rPr>
      </w:r>
    </w:p>
    <w:p>
      <w:pPr>
        <w:pStyle w:val="751"/>
        <w:numPr>
          <w:ilvl w:val="0"/>
          <w:numId w:val="0"/>
        </w:numPr>
      </w:pPr>
      <w:r>
        <w:t xml:space="preserve">2.1 Требования к объемам и срокам оказания услуг</w:t>
      </w:r>
      <w:r/>
    </w:p>
    <w:p>
      <w:pPr>
        <w:pStyle w:val="751"/>
        <w:ind w:left="709" w:hanging="709"/>
      </w:pPr>
      <w:r>
        <w:t xml:space="preserve">Требования к перечню и объемам услуг</w:t>
      </w:r>
      <w:r/>
    </w:p>
    <w:p>
      <w:pPr>
        <w:pStyle w:val="749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5" w:name="_Toc51339695"/>
      <w:r/>
      <w:bookmarkStart w:id="16" w:name="_Toc147991636"/>
      <w:r>
        <w:rPr>
          <w:rFonts w:eastAsiaTheme="minorEastAsia"/>
          <w:sz w:val="24"/>
          <w:szCs w:val="24"/>
        </w:rPr>
        <w:t xml:space="preserve">Таблица 2. Перечень </w:t>
      </w:r>
      <w:bookmarkEnd w:id="15"/>
      <w:r>
        <w:rPr>
          <w:rFonts w:eastAsiaTheme="minorEastAsia"/>
          <w:sz w:val="24"/>
          <w:szCs w:val="24"/>
        </w:rPr>
        <w:t xml:space="preserve">и объем оказываемых услуг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36"/>
        <w:gridCol w:w="2236"/>
        <w:gridCol w:w="2126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13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13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3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136" w:type="dxa"/>
            <w:vAlign w:val="center"/>
            <w:textDirection w:val="lrTb"/>
            <w:noWrap w:val="false"/>
          </w:tcPr>
          <w:p>
            <w:pPr>
              <w:pStyle w:val="752"/>
              <w:numPr>
                <w:ilvl w:val="0"/>
                <w:numId w:val="0"/>
              </w:numPr>
              <w:ind w:left="-55"/>
              <w:jc w:val="both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ОКПД2 33.12.11.004 оказание услуг по </w:t>
            </w: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виброобследованию</w:t>
            </w: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 турбоагрегатов ст.№1,2,3 и вспомогательного оборудования на территории структурного подразделения «</w:t>
            </w: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Нерюнгринская</w:t>
            </w: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 ГРЭС», Республика Саха (Якутия), г. Нерюнгри, пос. Серебряный Бор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36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В соответствии </w:t>
            </w:r>
            <w:r>
              <w:rPr>
                <w:iCs/>
                <w:sz w:val="24"/>
                <w:szCs w:val="24"/>
                <w:highlight w:val="none"/>
              </w:rPr>
              <w:t xml:space="preserve">с ведомостью оказания услуг </w:t>
            </w:r>
            <w:r>
              <w:rPr>
                <w:iCs/>
                <w:sz w:val="24"/>
                <w:szCs w:val="24"/>
                <w:highlight w:val="none"/>
              </w:rPr>
              <w:t xml:space="preserve"> – </w:t>
            </w:r>
            <w:r>
              <w:rPr>
                <w:iCs/>
                <w:sz w:val="24"/>
                <w:szCs w:val="24"/>
                <w:highlight w:val="none"/>
              </w:rPr>
              <w:t xml:space="preserve">(приложение № 2 к Техническим требованиям)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pStyle w:val="751"/>
      </w:pPr>
      <w:r/>
      <w:bookmarkStart w:id="18" w:name="_Toc51339696"/>
      <w:r/>
      <w:bookmarkStart w:id="19" w:name="_Toc147991638"/>
      <w:r/>
      <w:bookmarkStart w:id="20" w:name="_Toc50125131"/>
      <w:r>
        <w:rPr>
          <w:rFonts w:eastAsiaTheme="minorEastAsia"/>
        </w:rPr>
        <w:t xml:space="preserve">Требования </w:t>
      </w:r>
      <w:bookmarkEnd w:id="18"/>
      <w:r>
        <w:rPr>
          <w:rFonts w:eastAsiaTheme="minorEastAsia"/>
        </w:rPr>
        <w:t xml:space="preserve">к срокам оказания услуг</w:t>
      </w:r>
      <w:bookmarkEnd w:id="19"/>
      <w:r/>
      <w:r/>
    </w:p>
    <w:p>
      <w:pPr>
        <w:pStyle w:val="749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21" w:name="_Toc50125127"/>
      <w:r/>
      <w:bookmarkStart w:id="22" w:name="_Toc51339697"/>
      <w:r>
        <w:rPr>
          <w:rFonts w:eastAsiaTheme="minorEastAsia"/>
          <w:sz w:val="24"/>
          <w:szCs w:val="24"/>
        </w:rPr>
        <w:t xml:space="preserve">  </w:t>
      </w:r>
      <w:bookmarkStart w:id="23" w:name="_Toc147991639"/>
      <w:r>
        <w:rPr>
          <w:rFonts w:eastAsiaTheme="minorEastAsia"/>
          <w:sz w:val="24"/>
          <w:szCs w:val="24"/>
        </w:rPr>
        <w:t xml:space="preserve">Таблица 3. </w:t>
      </w:r>
      <w:bookmarkStart w:id="24" w:name="_Hlk50465284"/>
      <w:r>
        <w:rPr>
          <w:rFonts w:eastAsiaTheme="minorEastAsia"/>
          <w:sz w:val="24"/>
          <w:szCs w:val="24"/>
        </w:rPr>
        <w:t xml:space="preserve">Требования по срокам </w:t>
      </w:r>
      <w:bookmarkEnd w:id="21"/>
      <w:r/>
      <w:bookmarkEnd w:id="22"/>
      <w:r/>
      <w:bookmarkEnd w:id="24"/>
      <w:r>
        <w:rPr>
          <w:rFonts w:eastAsiaTheme="minorEastAsia"/>
          <w:sz w:val="24"/>
          <w:szCs w:val="24"/>
        </w:rPr>
        <w:t xml:space="preserve">оказания услуг</w:t>
      </w:r>
      <w:bookmarkEnd w:id="23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119"/>
        <w:gridCol w:w="2977"/>
        <w:gridCol w:w="3118"/>
      </w:tblGrid>
      <w:tr>
        <w:tblPrEx/>
        <w:trPr/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оказания услуг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оказания услуг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009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09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jc w:val="center"/>
              <w:pPrChange w:id="1" w:author="lutfullina_ee" w:date="2026-04-13T02:06:00Z">
                <w:pPr/>
              </w:pPrChange>
            </w:pPr>
            <w:r>
              <w:rPr>
                <w:rFonts w:eastAsiaTheme="minorEastAsia"/>
                <w:sz w:val="24"/>
                <w:szCs w:val="24"/>
              </w:rPr>
              <w:t xml:space="preserve">ОКПД2 33.12.11.004 оказание услуг по </w:t>
            </w:r>
            <w:r>
              <w:rPr>
                <w:rFonts w:eastAsiaTheme="minorEastAsia"/>
                <w:sz w:val="24"/>
                <w:szCs w:val="24"/>
              </w:rPr>
              <w:t xml:space="preserve">виброобследованию</w:t>
            </w:r>
            <w:r>
              <w:rPr>
                <w:rFonts w:eastAsiaTheme="minorEastAsia"/>
                <w:sz w:val="24"/>
                <w:szCs w:val="24"/>
              </w:rPr>
              <w:t xml:space="preserve"> турбоагрегатов ст.№1,2,3 и вспомогательного оборудования на территории структурного подразделения </w:t>
            </w:r>
            <w:r/>
          </w:p>
          <w:p>
            <w:pPr>
              <w:jc w:val="center"/>
              <w:rPr>
                <w:sz w:val="24"/>
              </w:rPr>
              <w:pPrChange w:id="2" w:author="lutfullina_ee" w:date="2026-04-13T02:06:00Z">
                <w:pPr/>
              </w:pPrChange>
            </w:pPr>
            <w:r>
              <w:rPr>
                <w:rFonts w:eastAsiaTheme="minorEastAsia"/>
                <w:sz w:val="24"/>
                <w:szCs w:val="24"/>
              </w:rPr>
              <w:t xml:space="preserve">«</w:t>
            </w:r>
            <w:r>
              <w:rPr>
                <w:rFonts w:eastAsiaTheme="minorEastAsia"/>
                <w:sz w:val="24"/>
                <w:szCs w:val="24"/>
              </w:rPr>
              <w:t xml:space="preserve">Нерюнгринская</w:t>
            </w:r>
            <w:r>
              <w:rPr>
                <w:rFonts w:eastAsiaTheme="minorEastAsia"/>
                <w:sz w:val="24"/>
                <w:szCs w:val="24"/>
              </w:rPr>
              <w:t xml:space="preserve"> ГРЭС», Республика Саха (Якутия), г. Нерюнгри, пос. Серебряный Бор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97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 w:val="24"/>
                <w:szCs w:val="24"/>
                <w:highlight w:val="white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С даты заключения договора </w:t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  <w:r>
              <w:rPr>
                <w:rFonts w:eastAsia="Calibri"/>
                <w:highlight w:val="white"/>
              </w:rPr>
            </w:r>
            <w:r>
              <w:rPr>
                <w:rFonts w:eastAsia="Calibri"/>
                <w:highlight w:val="white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  <w:lang w:val="ru-RU"/>
              </w:rPr>
              <w:t xml:space="preserve">в течение</w:t>
            </w:r>
            <w:r>
              <w:rPr>
                <w:bCs/>
                <w:sz w:val="24"/>
                <w:szCs w:val="24"/>
                <w:lang w:val="ru-RU"/>
              </w:rPr>
              <w:t xml:space="preserve"> 180 дней с даты заключения договора</w:t>
            </w:r>
            <w:r>
              <w:rPr>
                <w:bCs/>
                <w:sz w:val="24"/>
                <w:szCs w:val="24"/>
                <w:highlight w:val="green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keepLines/>
        <w:keepNext/>
        <w:spacing w:before="240" w:after="60"/>
        <w:rPr>
          <w:rFonts w:eastAsia="Calibri"/>
          <w:b/>
          <w:sz w:val="24"/>
          <w:szCs w:val="24"/>
        </w:rPr>
        <w:sectPr>
          <w:headerReference w:type="default" r:id="rId9"/>
          <w:headerReference w:type="even" r:id="rId10"/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708" w:equalWidth="1"/>
          <w:docGrid w:linePitch="360"/>
          <w:titlePg/>
        </w:sectPr>
        <w:outlineLvl w:val="0"/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752"/>
      </w:pPr>
      <w:r/>
      <w:bookmarkStart w:id="28" w:name="_Toc147991640"/>
      <w:r/>
      <w:bookmarkStart w:id="29" w:name="_Toc51339698"/>
      <w:r>
        <w:rPr>
          <w:rFonts w:eastAsiaTheme="minorEastAsia"/>
        </w:rPr>
        <w:t xml:space="preserve">Требования к качеству оказанных услуг</w:t>
      </w:r>
      <w:bookmarkEnd w:id="28"/>
      <w:r/>
      <w:r/>
    </w:p>
    <w:p>
      <w:pPr>
        <w:pStyle w:val="749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30" w:name="_Toc147991641"/>
      <w:r>
        <w:rPr>
          <w:rFonts w:eastAsiaTheme="minorEastAsia"/>
          <w:sz w:val="24"/>
          <w:szCs w:val="24"/>
        </w:rPr>
        <w:t xml:space="preserve">Таблица 4. Требования к </w:t>
      </w:r>
      <w:bookmarkEnd w:id="20"/>
      <w:r/>
      <w:bookmarkEnd w:id="29"/>
      <w:r>
        <w:rPr>
          <w:rFonts w:eastAsiaTheme="minorEastAsia"/>
          <w:sz w:val="24"/>
          <w:szCs w:val="24"/>
        </w:rPr>
        <w:t xml:space="preserve">качеству оказанных услуг</w:t>
      </w:r>
      <w:bookmarkEnd w:id="30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37"/>
        <w:tblpPr w:horzAnchor="text" w:tblpXSpec="left" w:vertAnchor="text" w:tblpY="1" w:leftFromText="180" w:topFromText="0" w:rightFromText="180" w:bottomFromText="0"/>
        <w:tblW w:w="14882" w:type="dxa"/>
        <w:tblLayout w:type="fixed"/>
        <w:tblLook w:val="04A0" w:firstRow="1" w:lastRow="0" w:firstColumn="1" w:lastColumn="0" w:noHBand="0" w:noVBand="1"/>
      </w:tblPr>
      <w:tblGrid>
        <w:gridCol w:w="704"/>
        <w:gridCol w:w="2086"/>
        <w:gridCol w:w="7806"/>
        <w:gridCol w:w="1877"/>
        <w:gridCol w:w="2409"/>
      </w:tblGrid>
      <w:tr>
        <w:tblPrEx/>
        <w:trPr>
          <w:trHeight w:val="788"/>
        </w:trPr>
        <w:tc>
          <w:tcPr>
            <w:tcW w:w="70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п/п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08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параметра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80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Требование заказчика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428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70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086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7806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87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70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8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780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87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234"/>
        </w:trPr>
        <w:tc>
          <w:tcPr>
            <w:tcW w:w="704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0"/>
                <w:numId w:val="8"/>
              </w:num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892" w:type="dxa"/>
            <w:vAlign w:val="center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оказанию услуг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877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704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9892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Общие требования к оказанию услуг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877" w:type="dxa"/>
            <w:textDirection w:val="lrTb"/>
            <w:noWrap w:val="false"/>
          </w:tcPr>
          <w:p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603"/>
        </w:trPr>
        <w:tc>
          <w:tcPr>
            <w:tcW w:w="704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8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Соблюдение при выполнении норм и правил нормативно-технических документов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806" w:type="dxa"/>
            <w:textDirection w:val="lrTb"/>
            <w:noWrap w:val="false"/>
          </w:tcPr>
          <w:p>
            <w:pPr>
              <w:jc w:val="both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При оказании услуг Исполнитель должен руководствоваться следующими национальными, отраслевыми и корпоративными нормативно-техническими документами (НТД):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pStyle w:val="980"/>
              <w:numPr>
                <w:ilvl w:val="0"/>
                <w:numId w:val="20"/>
              </w:numPr>
              <w:ind w:left="0" w:firstLine="0"/>
              <w:jc w:val="both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 (утв. приказом Ростехнадзора от 26.11.2020 №461);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pStyle w:val="980"/>
              <w:numPr>
                <w:ilvl w:val="0"/>
                <w:numId w:val="20"/>
              </w:numPr>
              <w:ind w:left="0" w:firstLine="0"/>
              <w:jc w:val="both"/>
              <w:tabs>
                <w:tab w:val="left" w:pos="0" w:leader="none"/>
                <w:tab w:val="left" w:pos="426" w:leader="none"/>
                <w:tab w:val="left" w:pos="851" w:leader="none"/>
              </w:tabs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Правила технической эксплуатации электрических станций и сетей РФ. Зарегистрировано Минюстом России № 4799 от 20.06.2003 г. (ред. от 13.02.2019</w:t>
            </w:r>
            <w:r>
              <w:rPr>
                <w:rFonts w:eastAsia="Courier New"/>
                <w:sz w:val="22"/>
                <w:szCs w:val="22"/>
                <w:lang w:bidi="ru-RU"/>
              </w:rPr>
              <w:t xml:space="preserve">)  .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pStyle w:val="980"/>
              <w:numPr>
                <w:ilvl w:val="0"/>
                <w:numId w:val="20"/>
              </w:numPr>
              <w:ind w:left="0" w:firstLine="0"/>
              <w:jc w:val="both"/>
              <w:tabs>
                <w:tab w:val="left" w:pos="0" w:leader="none"/>
                <w:tab w:val="left" w:pos="181" w:leader="none"/>
                <w:tab w:val="left" w:pos="426" w:leader="none"/>
                <w:tab w:val="left" w:pos="851" w:leader="none"/>
              </w:tabs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Инструкция по организации вибрационного обслуживания оборудования электростанций, РДИ 34-38-057-90.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pStyle w:val="980"/>
              <w:numPr>
                <w:ilvl w:val="0"/>
                <w:numId w:val="20"/>
              </w:numPr>
              <w:ind w:left="0" w:firstLine="0"/>
              <w:jc w:val="both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 РД 153-34.1-30.604-00 </w:t>
            </w:r>
            <w:r>
              <w:rPr>
                <w:rFonts w:eastAsia="Courier New"/>
                <w:sz w:val="22"/>
                <w:szCs w:val="22"/>
                <w:lang w:bidi="ru-RU"/>
              </w:rPr>
              <w:t xml:space="preserve">«Методические указания по балансировке многоопорных валопроводов турбоагрегатов на электростанциях»</w:t>
            </w:r>
            <w:r>
              <w:rPr>
                <w:rFonts w:eastAsia="Courier New"/>
                <w:sz w:val="22"/>
                <w:szCs w:val="22"/>
                <w:lang w:bidi="ru-RU"/>
              </w:rPr>
              <w:t xml:space="preserve">;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pStyle w:val="980"/>
              <w:numPr>
                <w:ilvl w:val="0"/>
                <w:numId w:val="20"/>
              </w:numPr>
              <w:ind w:left="0" w:firstLine="0"/>
              <w:jc w:val="both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РД 34.45-51.300–97 «Объём и нормы испытаний электрооборудования. 6-е издание с изменениями и дополнениями по состоянию на 01.10.2006»;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pStyle w:val="980"/>
              <w:numPr>
                <w:ilvl w:val="0"/>
                <w:numId w:val="20"/>
              </w:numPr>
              <w:ind w:left="0" w:firstLine="0"/>
              <w:jc w:val="both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Техническими условиями, технологическими картами и другими нормативными документами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pStyle w:val="980"/>
              <w:numPr>
                <w:ilvl w:val="0"/>
                <w:numId w:val="20"/>
              </w:numPr>
              <w:ind w:left="0" w:firstLine="0"/>
              <w:jc w:val="both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Всеми иными руководящими и законодательными документами на данный вид услуг.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jc w:val="both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 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новой редакции.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</w:tc>
        <w:tc>
          <w:tcPr>
            <w:tcW w:w="187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1005"/>
              <w:jc w:val="left"/>
              <w:keepNext w:val="0"/>
              <w:spacing w:before="0"/>
              <w:rPr>
                <w:rFonts w:eastAsia="Times New Roman"/>
                <w:sz w:val="22"/>
                <w:szCs w:val="22"/>
              </w:rPr>
              <w:outlineLvl w:val="2"/>
            </w:pP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4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892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 xml:space="preserve">Требования к организации услуг</w:t>
            </w:r>
            <w:r>
              <w:rPr>
                <w:b/>
                <w:sz w:val="22"/>
                <w:szCs w:val="22"/>
                <w:highlight w:val="yellow"/>
              </w:rPr>
            </w:r>
            <w:r>
              <w:rPr>
                <w:b/>
                <w:sz w:val="22"/>
                <w:szCs w:val="22"/>
                <w:highlight w:val="yellow"/>
              </w:rPr>
            </w:r>
          </w:p>
        </w:tc>
        <w:tc>
          <w:tcPr>
            <w:tcW w:w="1877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1833"/>
        </w:trPr>
        <w:tc>
          <w:tcPr>
            <w:tcW w:w="704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86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Организационные мероприятия по выполнению работ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7806" w:type="dxa"/>
            <w:textDirection w:val="lrTb"/>
            <w:noWrap w:val="false"/>
          </w:tcPr>
          <w:p>
            <w:pPr>
              <w:ind w:firstLine="720"/>
              <w:jc w:val="both"/>
              <w:rPr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</w:rPr>
              <w:t xml:space="preserve">Организация работ по </w:t>
            </w:r>
            <w:r>
              <w:rPr>
                <w:sz w:val="22"/>
                <w:szCs w:val="22"/>
              </w:rPr>
              <w:t xml:space="preserve">виброобследованию</w:t>
            </w:r>
            <w:r>
              <w:rPr>
                <w:sz w:val="22"/>
                <w:szCs w:val="22"/>
              </w:rPr>
              <w:t xml:space="preserve"> турбоагрегатов ст.№1,2,3 выполняется в соответствии с утвержденными графиками ремонтов основного оборудования СП «</w:t>
            </w:r>
            <w:r>
              <w:rPr>
                <w:sz w:val="22"/>
                <w:szCs w:val="22"/>
              </w:rPr>
              <w:t xml:space="preserve">Нерюнгринская</w:t>
            </w:r>
            <w:r>
              <w:rPr>
                <w:sz w:val="22"/>
                <w:szCs w:val="22"/>
              </w:rPr>
              <w:t xml:space="preserve"> ГРЭС».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720"/>
              <w:jc w:val="both"/>
              <w:rPr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</w:rPr>
              <w:t xml:space="preserve">Организация работ по </w:t>
            </w:r>
            <w:r>
              <w:rPr>
                <w:sz w:val="22"/>
                <w:szCs w:val="22"/>
              </w:rPr>
              <w:t xml:space="preserve">виброобследованию</w:t>
            </w:r>
            <w:r>
              <w:rPr>
                <w:sz w:val="22"/>
                <w:szCs w:val="22"/>
              </w:rPr>
              <w:t xml:space="preserve"> вспомогательного оборудованию энергоблоков ст.№1,2,3 выполняется: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720"/>
              <w:jc w:val="both"/>
              <w:rPr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</w:rPr>
              <w:t xml:space="preserve">- в период текущего ремонта до или после ремонта;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720"/>
              <w:jc w:val="both"/>
              <w:rPr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</w:rPr>
              <w:t xml:space="preserve">- в период капитального ремонта до и после ремонта.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7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1005"/>
              <w:keepNext w:val="0"/>
              <w:rPr>
                <w:rFonts w:eastAsia="Times New Roman"/>
                <w:b w:val="0"/>
                <w:sz w:val="22"/>
                <w:szCs w:val="22"/>
              </w:rPr>
              <w:outlineLvl w:val="2"/>
            </w:pPr>
            <w:r>
              <w:rPr>
                <w:sz w:val="22"/>
                <w:szCs w:val="22"/>
              </w:rPr>
              <w:t xml:space="preserve">-//-</w:t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</w:r>
          </w:p>
        </w:tc>
      </w:tr>
      <w:tr>
        <w:tblPrEx/>
        <w:trPr>
          <w:trHeight w:val="1833"/>
        </w:trPr>
        <w:tc>
          <w:tcPr>
            <w:tcW w:w="704" w:type="dxa"/>
            <w:vAlign w:val="center"/>
            <w:vMerge w:val="restart"/>
            <w:textDirection w:val="lrTb"/>
            <w:noWrap w:val="false"/>
          </w:tcPr>
          <w:p>
            <w:pPr>
              <w:pStyle w:val="980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86" w:type="dxa"/>
            <w:vMerge w:val="restart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none"/>
              </w:rPr>
            </w:pPr>
            <w:r>
              <w:rPr>
                <w:i w:val="0"/>
                <w:iCs w:val="0"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7806" w:type="dxa"/>
            <w:vMerge w:val="restart"/>
            <w:textDirection w:val="lrTb"/>
            <w:noWrap w:val="false"/>
          </w:tcPr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Допуск персонала подрядчика для выполнения работ должен осуществляться в соответствии с: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980"/>
              <w:numPr>
                <w:ilvl w:val="0"/>
                <w:numId w:val="27"/>
              </w:numPr>
              <w:ind w:left="0" w:firstLine="349"/>
              <w:jc w:val="both"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  <w:t xml:space="preserve">Положением 22.1-504-2025 «О допуске персонала подрядных организаций к выполнению работ на объектах АО «ДГК» (утверждено приказом АО «ДГК» от 25.09.2025г. №П-ДГК/795) (Приложение №4</w:t>
            </w:r>
            <w:r>
              <w:rPr>
                <w:sz w:val="22"/>
                <w:szCs w:val="22"/>
                <w:highlight w:val="none"/>
              </w:rPr>
              <w:t xml:space="preserve"> к Техническим требованиям);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980"/>
              <w:numPr>
                <w:ilvl w:val="0"/>
                <w:numId w:val="27"/>
              </w:numPr>
              <w:ind w:left="0" w:firstLine="349"/>
              <w:jc w:val="both"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Инструкцией по организации пропускного режима НГРЭС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iCs/>
                <w:sz w:val="22"/>
                <w:szCs w:val="22"/>
                <w:highlight w:val="none"/>
              </w:rPr>
              <w:t xml:space="preserve">(Приложение №5 к Техническим требованиям)</w:t>
            </w:r>
            <w:r>
              <w:rPr>
                <w:iCs/>
                <w:sz w:val="22"/>
                <w:szCs w:val="22"/>
                <w:highlight w:val="none"/>
              </w:rPr>
              <w:t xml:space="preserve">.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tcW w:w="187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  <w:t xml:space="preserve">Согласие с требованием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i/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pStyle w:val="1005"/>
              <w:keepNext w:val="0"/>
              <w:rPr>
                <w:sz w:val="22"/>
                <w:szCs w:val="22"/>
              </w:rPr>
              <w:outlineLvl w:val="2"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704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892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контролю качества услуг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87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  <w:t xml:space="preserve">Согласие с требованием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704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86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 качества услуг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806" w:type="dxa"/>
            <w:textDirection w:val="lrTb"/>
            <w:noWrap w:val="false"/>
          </w:tcPr>
          <w:p>
            <w:pPr>
              <w:ind w:firstLine="720"/>
              <w:jc w:val="both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В соответствии с законом № 184-ФЗ «О техническом регулировании» Исполнитель принимает на себя добровольное обязательство</w:t>
            </w:r>
            <w:r>
              <w:rPr>
                <w:rFonts w:eastAsia="Courier New"/>
                <w:sz w:val="22"/>
                <w:szCs w:val="22"/>
                <w:lang w:bidi="ru-RU"/>
              </w:rPr>
              <w:t xml:space="preserve"> о соблюдении требований правил, технических условий, ГОСТ, ПЭУ и других нормативных технических документов, действующих на момент заключения договора и добровольное обязательство о оказании услуг с качеством, соответствующим вышеперечисленным документам. 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ind w:firstLine="720"/>
              <w:jc w:val="both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Показатели технического состояния оборудования после оказанных услуг по Договору должны соответствовать нормативным значениям в соответствии с нормативно – технической документацией.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ind w:firstLine="720"/>
              <w:jc w:val="both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Контроль за ходом и качеством Услуг осуществляется как Исполнителем, так и Заказчиком.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</w:tc>
        <w:tc>
          <w:tcPr>
            <w:tcW w:w="1877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704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892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безопасности работ и охране труда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877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704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86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безопасности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7806" w:type="dxa"/>
            <w:textDirection w:val="lrTb"/>
            <w:noWrap w:val="false"/>
          </w:tcPr>
          <w:p>
            <w:pPr>
              <w:ind w:firstLine="720"/>
              <w:jc w:val="both"/>
              <w:spacing w:after="60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Меры безопасности при оказании услуг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pStyle w:val="980"/>
              <w:numPr>
                <w:ilvl w:val="0"/>
                <w:numId w:val="21"/>
              </w:numPr>
              <w:ind w:left="0" w:firstLine="0"/>
              <w:jc w:val="both"/>
              <w:spacing w:after="60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СНиП 12-03-2001 «Безопасность труда в строительстве» Часть 1. Общие требования. Приняты и введены в действие Постановлением Госстроя РФ от 23.07.2001 г. №80;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pStyle w:val="980"/>
              <w:numPr>
                <w:ilvl w:val="0"/>
                <w:numId w:val="21"/>
              </w:numPr>
              <w:ind w:left="0" w:firstLine="0"/>
              <w:jc w:val="both"/>
              <w:spacing w:after="60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"Правила промышленной безопасности при использовании оборудования, работающего под избыточным давлением" утвержденные приказом Федеральной службой по экологическому, технологическому и атомному надзору от 15.12.2020 г. № 536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pStyle w:val="980"/>
              <w:numPr>
                <w:ilvl w:val="0"/>
                <w:numId w:val="21"/>
              </w:numPr>
              <w:ind w:left="0" w:firstLine="0"/>
              <w:jc w:val="both"/>
              <w:spacing w:after="60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ГОСТ 12.1.019-2017 «Система стандартов безопасности труда (ССБТ). Электробезопасность. Общие требования и номенклатура видов защиты» (с Поправкой);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pStyle w:val="980"/>
              <w:numPr>
                <w:ilvl w:val="0"/>
                <w:numId w:val="21"/>
              </w:numPr>
              <w:ind w:left="0" w:firstLine="0"/>
              <w:jc w:val="both"/>
              <w:spacing w:after="60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"Правила безопасности опасных производственных объектов, на которых используются подъемные сооружения" утвержденные приказом Федеральной службой по экологическому и атомному надзору от 26.11.2020 г. № 461.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pStyle w:val="980"/>
              <w:numPr>
                <w:ilvl w:val="0"/>
                <w:numId w:val="21"/>
              </w:numPr>
              <w:ind w:left="0" w:firstLine="0"/>
              <w:jc w:val="both"/>
              <w:spacing w:after="60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При выполнении Услуг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  <w:r>
              <w:rPr>
                <w:rFonts w:eastAsia="Times New Roman"/>
                <w:bCs/>
                <w:sz w:val="22"/>
                <w:szCs w:val="22"/>
              </w:rPr>
            </w:r>
            <w:r>
              <w:rPr>
                <w:rFonts w:eastAsia="Times New Roman"/>
                <w:bCs/>
                <w:sz w:val="22"/>
                <w:szCs w:val="22"/>
              </w:rPr>
            </w:r>
          </w:p>
          <w:p>
            <w:pPr>
              <w:ind w:firstLine="720"/>
              <w:jc w:val="both"/>
              <w:spacing w:after="60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</w:t>
            </w:r>
            <w:r>
              <w:rPr>
                <w:rFonts w:eastAsia="Courier New"/>
                <w:sz w:val="22"/>
                <w:szCs w:val="22"/>
                <w:lang w:bidi="ru-RU"/>
              </w:rPr>
              <w:t xml:space="preserve">в  новой</w:t>
            </w:r>
            <w:r>
              <w:rPr>
                <w:rFonts w:eastAsia="Courier New"/>
                <w:sz w:val="22"/>
                <w:szCs w:val="22"/>
                <w:lang w:bidi="ru-RU"/>
              </w:rPr>
              <w:t xml:space="preserve"> редакции.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</w:tc>
        <w:tc>
          <w:tcPr>
            <w:tcW w:w="1877" w:type="dxa"/>
            <w:textDirection w:val="lrTb"/>
            <w:noWrap w:val="false"/>
          </w:tcPr>
          <w:p>
            <w:r/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704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86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Соблюдение требований к пожарной безопасности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806" w:type="dxa"/>
            <w:textDirection w:val="lrTb"/>
            <w:noWrap w:val="false"/>
          </w:tcPr>
          <w:p>
            <w:pPr>
              <w:ind w:firstLine="720"/>
              <w:jc w:val="both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Меры пожарной безопасности при оказании услуг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ind w:firstLine="720"/>
              <w:jc w:val="both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Правилах противопожарного режима в Российской Федерации, утверждены Постановлением Правительства РФ от 16.09.2020 № 1479;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ind w:firstLine="720"/>
              <w:jc w:val="both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При оказании услуг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ind w:firstLine="720"/>
              <w:jc w:val="both"/>
              <w:rPr>
                <w:iCs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</w:t>
            </w:r>
            <w:r>
              <w:rPr>
                <w:iCs/>
                <w:sz w:val="22"/>
                <w:szCs w:val="22"/>
              </w:rPr>
              <w:t xml:space="preserve">.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  <w:p>
            <w:pPr>
              <w:ind w:firstLine="720"/>
              <w:jc w:val="both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Персональную ответственность за обеспечение пожарной безопасности несёт руководитель Исполнителя или лицо, его замещающее.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ind w:firstLine="720"/>
              <w:jc w:val="both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Место производства работ должно быть оснащено средствами пожаротушения. 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ind w:firstLine="720"/>
              <w:jc w:val="both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новой редакции.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</w:tc>
        <w:tc>
          <w:tcPr>
            <w:tcW w:w="1877" w:type="dxa"/>
            <w:textDirection w:val="lrTb"/>
            <w:noWrap w:val="false"/>
          </w:tcPr>
          <w:p>
            <w:r/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704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86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Соблюдение требований к охране окружающей среды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806" w:type="dxa"/>
            <w:textDirection w:val="lrTb"/>
            <w:noWrap w:val="false"/>
          </w:tcPr>
          <w:p>
            <w:pPr>
              <w:ind w:firstLine="720"/>
              <w:jc w:val="both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При оказании услуг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ind w:firstLine="720"/>
              <w:jc w:val="both"/>
              <w:tabs>
                <w:tab w:val="left" w:pos="316" w:leader="none"/>
              </w:tabs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Отходы, строительный мусор должны своевременно вывозиться для дальнейшей утилизации.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pStyle w:val="980"/>
              <w:numPr>
                <w:ilvl w:val="0"/>
                <w:numId w:val="22"/>
              </w:numPr>
              <w:jc w:val="both"/>
              <w:spacing w:after="60"/>
              <w:tabs>
                <w:tab w:val="left" w:pos="316" w:leader="none"/>
              </w:tabs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Мероприятия и работы по охране окружающей среды вести в соответствии: Федеральный закон от 10.01.2002 № 7-ФЗ «Об охране окружающей среды»;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pStyle w:val="980"/>
              <w:numPr>
                <w:ilvl w:val="0"/>
                <w:numId w:val="22"/>
              </w:numPr>
              <w:jc w:val="both"/>
              <w:spacing w:after="60"/>
              <w:tabs>
                <w:tab w:val="left" w:pos="316" w:leader="none"/>
              </w:tabs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Федеральный закон от 04.05.1999 № 96-ФЗ «Об охране атмосферного воздуха»;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pStyle w:val="980"/>
              <w:numPr>
                <w:ilvl w:val="0"/>
                <w:numId w:val="22"/>
              </w:numPr>
              <w:jc w:val="both"/>
              <w:spacing w:after="60"/>
              <w:tabs>
                <w:tab w:val="left" w:pos="316" w:leader="none"/>
              </w:tabs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Водный кодекс Российской Федерации;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pStyle w:val="980"/>
              <w:ind w:left="0" w:firstLine="720"/>
              <w:jc w:val="both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новой редакции.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</w:tc>
        <w:tc>
          <w:tcPr>
            <w:tcW w:w="1877" w:type="dxa"/>
            <w:textDirection w:val="lrTb"/>
            <w:noWrap w:val="false"/>
          </w:tcPr>
          <w:p>
            <w:r/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704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8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bookmarkStart w:id="33" w:name="_Toc129956749"/>
            <w:r>
              <w:rPr>
                <w:sz w:val="22"/>
                <w:szCs w:val="22"/>
              </w:rPr>
              <w:t xml:space="preserve">Соблюдение требований охраны труда</w:t>
            </w:r>
            <w:bookmarkEnd w:id="33"/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806" w:type="dxa"/>
            <w:textDirection w:val="lrTb"/>
            <w:noWrap w:val="false"/>
          </w:tcPr>
          <w:p>
            <w:pPr>
              <w:ind w:firstLine="720"/>
              <w:jc w:val="both"/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Меры по соблюдению требований охраны труда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numPr>
                <w:ilvl w:val="0"/>
                <w:numId w:val="10"/>
              </w:numPr>
              <w:ind w:left="0" w:firstLine="456"/>
              <w:jc w:val="both"/>
              <w:widowControl w:val="off"/>
              <w:tabs>
                <w:tab w:val="left" w:pos="567" w:leader="none"/>
                <w:tab w:val="left" w:pos="1134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Правилах по охране труда при работе на высоте (утверждены приказом Министерства труда от 16.11.2020 №782н)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10"/>
              </w:numPr>
              <w:ind w:left="0" w:firstLine="456"/>
              <w:jc w:val="both"/>
              <w:widowControl w:val="off"/>
              <w:tabs>
                <w:tab w:val="left" w:pos="567" w:leader="none"/>
                <w:tab w:val="left" w:pos="1134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Правилах по охране труда при работе с инструментом и приспособлениями (утверждены приказом Министерства труда от 27.11.2020 № 835н);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10"/>
              </w:numPr>
              <w:ind w:left="0" w:firstLine="456"/>
              <w:jc w:val="both"/>
              <w:widowControl w:val="off"/>
              <w:tabs>
                <w:tab w:val="left" w:pos="567" w:leader="none"/>
                <w:tab w:val="left" w:pos="1134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Правилах по охране труда при размещении, монтаже, техническом обслуживании и ремонте технологического оборудования (утверждены приказом Министерства труда от 27.11.2020 №833н);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10"/>
              </w:numPr>
              <w:ind w:left="0" w:firstLine="456"/>
              <w:jc w:val="both"/>
              <w:widowControl w:val="off"/>
              <w:tabs>
                <w:tab w:val="left" w:pos="567" w:leader="none"/>
                <w:tab w:val="left" w:pos="1134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Правилах по охране труда при эксплуатации электроустановок, утвержденные Приказом Министерства труда и социальной защиты РФ от 15.12.2020 №903н. 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10"/>
              </w:numPr>
              <w:contextualSpacing/>
              <w:ind w:left="0" w:firstLine="456"/>
              <w:jc w:val="both"/>
              <w:tabs>
                <w:tab w:val="left" w:pos="313" w:leader="none"/>
                <w:tab w:val="left" w:pos="413" w:leader="none"/>
                <w:tab w:val="left" w:pos="1134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Правила по охране труда при обработке металлов (утв. приказом Министерства труда и социальной защиты Российской Федерации от 11.12.2020г. №887н);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10"/>
              </w:numPr>
              <w:contextualSpacing/>
              <w:ind w:left="0" w:firstLine="456"/>
              <w:jc w:val="both"/>
              <w:tabs>
                <w:tab w:val="left" w:pos="313" w:leader="none"/>
                <w:tab w:val="left" w:pos="413" w:leader="none"/>
                <w:tab w:val="left" w:pos="1134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Правила при погрузочно-разгрузочных работах и размещении грузов (утв. приказом Министерства труда и социальной защиты Российской Федерации от 28.10.2020г. №753н);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10"/>
              </w:numPr>
              <w:contextualSpacing/>
              <w:ind w:left="0" w:firstLine="456"/>
              <w:jc w:val="both"/>
              <w:tabs>
                <w:tab w:val="left" w:pos="313" w:leader="none"/>
                <w:tab w:val="left" w:pos="413" w:leader="none"/>
                <w:tab w:val="left" w:pos="1134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Правила при эксплуатации промышленного транспорта (напольный безрельсовый колесный транспорт) (утв. приказом Министерства труда и социальной защиты Российской Федерации от 18.11.2020г. №814н);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10"/>
              </w:numPr>
              <w:contextualSpacing/>
              <w:ind w:left="0" w:firstLine="456"/>
              <w:jc w:val="both"/>
              <w:tabs>
                <w:tab w:val="left" w:pos="313" w:leader="none"/>
                <w:tab w:val="left" w:pos="413" w:leader="none"/>
                <w:tab w:val="left" w:pos="1134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Правила при выполнении электросварочных и газосварочных работ (утв. приказом Министерства труда и социальной защиты Российской Федерации от 11.12.2020г. №884н); 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10"/>
              </w:numPr>
              <w:contextualSpacing/>
              <w:ind w:left="0" w:firstLine="456"/>
              <w:jc w:val="both"/>
              <w:spacing w:after="60"/>
              <w:tabs>
                <w:tab w:val="left" w:pos="313" w:leader="none"/>
                <w:tab w:val="left" w:pos="413" w:leader="none"/>
              </w:tabs>
              <w:rPr>
                <w:rFonts w:eastAsia="Courier New"/>
                <w:sz w:val="22"/>
                <w:szCs w:val="22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26.11.2020г. №461)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  <w:p>
            <w:pPr>
              <w:contextualSpacing/>
              <w:ind w:firstLine="456"/>
              <w:jc w:val="both"/>
              <w:spacing w:after="60"/>
              <w:tabs>
                <w:tab w:val="left" w:pos="313" w:leader="none"/>
                <w:tab w:val="left" w:pos="413" w:leader="none"/>
              </w:tabs>
              <w:rPr>
                <w:rFonts w:eastAsia="Courier New"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</w:t>
            </w:r>
            <w:r>
              <w:rPr>
                <w:rFonts w:eastAsia="Courier New"/>
                <w:sz w:val="22"/>
                <w:szCs w:val="22"/>
                <w:lang w:bidi="ru-RU"/>
              </w:rPr>
              <w:t xml:space="preserve">в  новой</w:t>
            </w:r>
            <w:r>
              <w:rPr>
                <w:rFonts w:eastAsia="Courier New"/>
                <w:sz w:val="22"/>
                <w:szCs w:val="22"/>
                <w:lang w:bidi="ru-RU"/>
              </w:rPr>
              <w:t xml:space="preserve"> редакции.</w:t>
            </w:r>
            <w:r>
              <w:rPr>
                <w:rFonts w:eastAsia="Courier New"/>
                <w:sz w:val="22"/>
                <w:szCs w:val="22"/>
              </w:rPr>
            </w:r>
            <w:r>
              <w:rPr>
                <w:rFonts w:eastAsia="Courier New"/>
                <w:sz w:val="22"/>
                <w:szCs w:val="22"/>
              </w:rPr>
            </w:r>
          </w:p>
        </w:tc>
        <w:tc>
          <w:tcPr>
            <w:tcW w:w="1877" w:type="dxa"/>
            <w:textDirection w:val="lrTb"/>
            <w:noWrap w:val="false"/>
          </w:tcPr>
          <w:p>
            <w:r/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704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892" w:type="dxa"/>
            <w:textDirection w:val="lrTb"/>
            <w:noWrap w:val="false"/>
          </w:tcPr>
          <w:p>
            <w:pPr>
              <w:pStyle w:val="980"/>
              <w:ind w:left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персоналу Исполнителя и опыту оказания аналогичных услуг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7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704" w:type="dxa"/>
            <w:vAlign w:val="center"/>
            <w:textDirection w:val="lrTb"/>
            <w:noWrap w:val="false"/>
          </w:tcPr>
          <w:p>
            <w:pPr>
              <w:ind w:firstLine="22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1.5.1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892" w:type="dxa"/>
            <w:textDirection w:val="lrTb"/>
            <w:noWrap w:val="false"/>
          </w:tcPr>
          <w:p>
            <w:pPr>
              <w:ind w:firstLine="463"/>
              <w:jc w:val="both"/>
              <w:tabs>
                <w:tab w:val="left" w:pos="1134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Исполнитель должен иметь собственный квалифицированный персонал. До начала оказания услуг Исполнитель представляет Заказчику документы, подтверждающие квалификацию персонала (</w:t>
            </w:r>
            <w:r>
              <w:rPr>
                <w:rFonts w:eastAsia="Calibri"/>
                <w:sz w:val="22"/>
                <w:szCs w:val="22"/>
              </w:rPr>
              <w:t xml:space="preserve">копии действующих удостоверений, аттестатов, дипломов</w:t>
            </w:r>
            <w:r>
              <w:rPr>
                <w:rFonts w:eastAsia="Calibri"/>
                <w:sz w:val="22"/>
                <w:szCs w:val="22"/>
              </w:rPr>
              <w:t xml:space="preserve">, лицензий):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ind w:firstLine="463"/>
              <w:jc w:val="both"/>
              <w:tabs>
                <w:tab w:val="left" w:pos="1134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Квалификация персонала подтверждается копиями удостоверений, аттестатов, дипломов, лицензий, в том числе: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ind w:firstLine="463"/>
              <w:jc w:val="both"/>
              <w:tabs>
                <w:tab w:val="left" w:pos="1134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инженеры (специалисты II уровня в области неразрушающего контроля (вид: </w:t>
            </w:r>
            <w:r>
              <w:rPr>
                <w:rFonts w:eastAsia="Calibri"/>
                <w:sz w:val="22"/>
                <w:szCs w:val="22"/>
              </w:rPr>
              <w:t xml:space="preserve">вибродиагностический</w:t>
            </w:r>
            <w:r>
              <w:rPr>
                <w:rFonts w:eastAsia="Calibri"/>
                <w:sz w:val="22"/>
                <w:szCs w:val="22"/>
              </w:rPr>
              <w:t xml:space="preserve">, Объекты контроля согласно СДАНК-02-2020: 12) – не менее 1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 xml:space="preserve">человека.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ind w:firstLine="463"/>
              <w:jc w:val="both"/>
              <w:tabs>
                <w:tab w:val="left" w:pos="1134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инженер (специалист III уровня в области неразрушающего контроля (вид: </w:t>
            </w:r>
            <w:r>
              <w:rPr>
                <w:rFonts w:eastAsia="Calibri"/>
                <w:sz w:val="22"/>
                <w:szCs w:val="22"/>
              </w:rPr>
              <w:t xml:space="preserve">вибродиагностический</w:t>
            </w:r>
            <w:r>
              <w:rPr>
                <w:rFonts w:eastAsia="Calibri"/>
                <w:sz w:val="22"/>
                <w:szCs w:val="22"/>
              </w:rPr>
              <w:t xml:space="preserve">, Объекты контроля согласно СДАНК-02-2020: 12) – 1 человек.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ind w:firstLine="463"/>
              <w:jc w:val="both"/>
              <w:tabs>
                <w:tab w:val="left" w:pos="1134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- инженер службы охраны труда – 1 человек.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jc w:val="both"/>
              <w:tabs>
                <w:tab w:val="left" w:pos="1134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       До начала оказания услуг Исполнитель представляет Заказчику документы, подтверждающие поверку, калибровку или аттестацию оборудования, в том числе: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ind w:firstLine="463"/>
              <w:jc w:val="both"/>
              <w:tabs>
                <w:tab w:val="left" w:pos="1134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Виброанализатор</w:t>
            </w:r>
            <w:r>
              <w:rPr>
                <w:rFonts w:eastAsia="Calibri"/>
                <w:sz w:val="22"/>
                <w:szCs w:val="22"/>
              </w:rPr>
              <w:t xml:space="preserve"> – </w:t>
            </w:r>
            <w:r>
              <w:rPr>
                <w:rFonts w:eastAsia="Calibri"/>
                <w:sz w:val="22"/>
                <w:szCs w:val="22"/>
              </w:rPr>
              <w:t xml:space="preserve">не менее 1 шт</w:t>
            </w:r>
            <w:r>
              <w:rPr>
                <w:rFonts w:eastAsia="Calibri"/>
                <w:sz w:val="22"/>
                <w:szCs w:val="22"/>
              </w:rPr>
              <w:t xml:space="preserve">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ind w:firstLine="463"/>
              <w:jc w:val="both"/>
              <w:tabs>
                <w:tab w:val="left" w:pos="1134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Многоканальный виброизмерительный комплекс (количество каналов не менее 8) – </w:t>
            </w:r>
            <w:r>
              <w:rPr>
                <w:rFonts w:eastAsia="Calibri"/>
                <w:sz w:val="22"/>
                <w:szCs w:val="22"/>
              </w:rPr>
              <w:t xml:space="preserve">не менее 1 шт</w:t>
            </w:r>
            <w:r>
              <w:rPr>
                <w:rFonts w:eastAsia="Calibri"/>
                <w:sz w:val="22"/>
                <w:szCs w:val="22"/>
              </w:rPr>
              <w:t xml:space="preserve">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ind w:firstLine="463"/>
              <w:jc w:val="both"/>
              <w:tabs>
                <w:tab w:val="left" w:pos="1134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Виброметр – </w:t>
            </w:r>
            <w:r>
              <w:rPr>
                <w:rFonts w:eastAsia="Calibri"/>
                <w:sz w:val="22"/>
                <w:szCs w:val="22"/>
              </w:rPr>
              <w:t xml:space="preserve">не менее 1 шт.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ind w:firstLine="463"/>
              <w:jc w:val="both"/>
              <w:tabs>
                <w:tab w:val="left" w:pos="1134" w:leader="none"/>
              </w:tabs>
              <w:rPr>
                <w:rFonts w:eastAsia="Calibri"/>
                <w:sz w:val="22"/>
                <w:szCs w:val="22"/>
                <w:highlight w:val="none"/>
              </w:rPr>
            </w:pPr>
            <w:r>
              <w:rPr>
                <w:rFonts w:eastAsia="Calibri"/>
                <w:sz w:val="22"/>
                <w:szCs w:val="22"/>
              </w:rPr>
              <w:t xml:space="preserve">Свидетельство об аттестации лаборатории неразрушающего контроля, аттестованную </w:t>
            </w:r>
            <w:r>
              <w:rPr>
                <w:rFonts w:eastAsia="Calibri"/>
                <w:sz w:val="22"/>
                <w:szCs w:val="22"/>
              </w:rPr>
              <w:t xml:space="preserve">в соответствии с требованиями СДАНК-01-2020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 xml:space="preserve">на следующие виды контроля: </w:t>
            </w:r>
            <w:r>
              <w:rPr>
                <w:rFonts w:eastAsia="Calibri"/>
                <w:sz w:val="22"/>
                <w:szCs w:val="22"/>
              </w:rPr>
              <w:t xml:space="preserve">Вибродиагностический</w:t>
            </w:r>
            <w:r>
              <w:rPr>
                <w:rFonts w:eastAsia="Calibri"/>
                <w:sz w:val="22"/>
                <w:szCs w:val="22"/>
              </w:rPr>
              <w:t xml:space="preserve"> (ВД). </w:t>
            </w:r>
            <w:r>
              <w:rPr>
                <w:rFonts w:eastAsia="Calibri"/>
                <w:sz w:val="22"/>
                <w:szCs w:val="22"/>
              </w:rPr>
              <w:t xml:space="preserve">Объекты к</w:t>
            </w:r>
            <w:r>
              <w:rPr>
                <w:rFonts w:eastAsia="Calibri"/>
                <w:sz w:val="22"/>
                <w:szCs w:val="22"/>
                <w:highlight w:val="none"/>
              </w:rPr>
              <w:t xml:space="preserve">онтроля: </w:t>
            </w:r>
            <w:r>
              <w:rPr>
                <w:rFonts w:eastAsia="Calibri"/>
                <w:sz w:val="22"/>
                <w:szCs w:val="22"/>
                <w:highlight w:val="none"/>
              </w:rPr>
              <w:t xml:space="preserve">12 (вращающееся оборудование)</w:t>
            </w:r>
            <w:r>
              <w:rPr>
                <w:rFonts w:eastAsia="Calibri"/>
                <w:sz w:val="22"/>
                <w:szCs w:val="22"/>
                <w:highlight w:val="none"/>
              </w:rPr>
            </w:r>
            <w:r>
              <w:rPr>
                <w:rFonts w:eastAsia="Calibri"/>
                <w:sz w:val="22"/>
                <w:szCs w:val="22"/>
                <w:highlight w:val="none"/>
              </w:rPr>
            </w:r>
          </w:p>
        </w:tc>
        <w:tc>
          <w:tcPr>
            <w:tcW w:w="187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704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0"/>
                <w:numId w:val="8"/>
              </w:num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892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выполнению услуг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877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447"/>
        </w:trPr>
        <w:tc>
          <w:tcPr>
            <w:tcW w:w="704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892" w:type="dxa"/>
            <w:vAlign w:val="center"/>
            <w:textDirection w:val="lrTb"/>
            <w:noWrap w:val="false"/>
          </w:tcPr>
          <w:p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Допускается привлечение субподрядных организаций при условии, что такие организации соответствуют установленным требованиям и их привлечение согласовано с Заказчиком.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877" w:type="dxa"/>
            <w:textDirection w:val="lrTb"/>
            <w:noWrap w:val="false"/>
          </w:tcPr>
          <w:p>
            <w:r/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704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892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порядку сдачи-приемки услуг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Подробно указаны в проекте договора (в том числе в разделе № 4), который включен в состав Документации о закупке.</w:t>
            </w:r>
            <w:r>
              <w:rPr>
                <w:rStyle w:val="1011"/>
                <w:b w:val="0"/>
                <w:bCs/>
                <w:i w:val="0"/>
                <w:sz w:val="22"/>
                <w:szCs w:val="22"/>
                <w:shd w:val="clear" w:color="auto" w:fill="auto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877" w:type="dxa"/>
            <w:textDirection w:val="lrTb"/>
            <w:noWrap w:val="false"/>
          </w:tcPr>
          <w:p>
            <w:r/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704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892" w:type="dxa"/>
            <w:textDirection w:val="lrTb"/>
            <w:noWrap w:val="false"/>
          </w:tcPr>
          <w:p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ru-RU"/>
              </w:rPr>
              <w:t xml:space="preserve">Требования к оформлению документации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720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lang w:bidi="ru-RU"/>
              </w:rPr>
              <w:t xml:space="preserve">По результату оказания услуг Исполнитель обязан оформить и передать Заказчику в установленные сроки отчетную документацию: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980"/>
              <w:numPr>
                <w:ilvl w:val="0"/>
                <w:numId w:val="25"/>
              </w:numPr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  <w:lang w:bidi="ru-RU"/>
              </w:rPr>
              <w:t xml:space="preserve">Технический отчет по результатам </w:t>
            </w:r>
            <w:r>
              <w:rPr>
                <w:sz w:val="22"/>
                <w:szCs w:val="22"/>
                <w:highlight w:val="none"/>
                <w:lang w:bidi="ru-RU"/>
              </w:rPr>
              <w:t xml:space="preserve">виброобследования;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980"/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bidi="ru-RU"/>
              </w:rPr>
              <w:t xml:space="preserve">фото/видео материалы (при необходимости);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80"/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bidi="ru-RU"/>
              </w:rPr>
              <w:t xml:space="preserve">табель учета рабочего времени Исполнителя;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80"/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bidi="ru-RU"/>
              </w:rPr>
              <w:t xml:space="preserve">техническое заключение и рекомендации по результатам оказанных услуг.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bidi="ru-RU"/>
              </w:rPr>
              <w:t xml:space="preserve">Вся отчетность передается Заказчику в бумажном виде в трех экземплярах и на электронном носителе (формат файлов </w:t>
            </w:r>
            <w:r>
              <w:rPr>
                <w:sz w:val="22"/>
                <w:szCs w:val="22"/>
                <w:lang w:val="en-US"/>
              </w:rPr>
              <w:t xml:space="preserve">PDF</w:t>
            </w:r>
            <w:r>
              <w:rPr>
                <w:sz w:val="22"/>
                <w:szCs w:val="22"/>
                <w:lang w:bidi="ru-RU"/>
              </w:rPr>
              <w:t xml:space="preserve"> и редактируемый формат </w:t>
            </w:r>
            <w:r>
              <w:rPr>
                <w:sz w:val="22"/>
                <w:szCs w:val="22"/>
                <w:lang w:val="en-US"/>
              </w:rPr>
              <w:t xml:space="preserve">Word</w:t>
            </w:r>
            <w:r>
              <w:rPr>
                <w:sz w:val="22"/>
                <w:szCs w:val="22"/>
                <w:lang w:bidi="ru-RU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 xml:space="preserve">Excel</w:t>
            </w:r>
            <w:r>
              <w:rPr>
                <w:sz w:val="22"/>
                <w:szCs w:val="22"/>
                <w:lang w:bidi="ru-RU"/>
              </w:rPr>
              <w:t xml:space="preserve"> и пр.).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77" w:type="dxa"/>
            <w:textDirection w:val="lrTb"/>
            <w:noWrap w:val="false"/>
          </w:tcPr>
          <w:p>
            <w:r/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704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892" w:type="dxa"/>
            <w:textDirection w:val="lrTb"/>
            <w:noWrap w:val="false"/>
          </w:tcPr>
          <w:p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ru-RU"/>
              </w:rPr>
              <w:t xml:space="preserve">Требования к результатам оказываемых услуг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bidi="ru-RU"/>
              </w:rPr>
              <w:t xml:space="preserve">Результатом оказания услуг является </w:t>
            </w:r>
            <w:r>
              <w:rPr>
                <w:sz w:val="22"/>
                <w:szCs w:val="22"/>
                <w:lang w:bidi="ru-RU"/>
              </w:rPr>
              <w:t xml:space="preserve">вибродиагностика</w:t>
            </w:r>
            <w:r>
              <w:rPr>
                <w:sz w:val="22"/>
                <w:szCs w:val="22"/>
                <w:lang w:bidi="ru-RU"/>
              </w:rPr>
              <w:t xml:space="preserve"> и </w:t>
            </w:r>
            <w:r>
              <w:rPr>
                <w:sz w:val="22"/>
                <w:szCs w:val="22"/>
                <w:lang w:bidi="ru-RU"/>
              </w:rPr>
              <w:t xml:space="preserve">виброналадка</w:t>
            </w:r>
            <w:r>
              <w:rPr>
                <w:sz w:val="22"/>
                <w:szCs w:val="22"/>
                <w:lang w:bidi="ru-RU"/>
              </w:rPr>
              <w:t xml:space="preserve"> оборудования с проведением технического аудита и разработкой модели периодического мониторинга, </w:t>
            </w:r>
            <w:r>
              <w:rPr>
                <w:sz w:val="22"/>
                <w:szCs w:val="22"/>
                <w:lang w:bidi="ru-RU"/>
              </w:rPr>
              <w:t xml:space="preserve">обеспечивающего объективную оценку состояния оборудования, разработка технического заключения и рекомендаций по эксплуатации оборудования.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72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bidi="ru-RU"/>
              </w:rPr>
              <w:t xml:space="preserve">Показатели технического состояния оборудования после оказанных услуг должны соответствовать нормативным значениям в соответствии с технической документацией.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87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704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0"/>
                <w:numId w:val="8"/>
              </w:num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892" w:type="dxa"/>
            <w:vAlign w:val="center"/>
            <w:textDirection w:val="lrTb"/>
            <w:noWrap w:val="false"/>
          </w:tcPr>
          <w:p>
            <w:pPr>
              <w:keepNext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исполнителю и его обязательствам, влияющим на исполнение договора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jc w:val="both"/>
              <w:spacing w:before="20"/>
              <w:rPr>
                <w:b/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  <w:lang w:bidi="ru-RU"/>
              </w:rPr>
              <w:t xml:space="preserve">Подробно указаны в проекте договора, который включен в состав Документации о закупке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87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704" w:type="dxa"/>
            <w:vAlign w:val="center"/>
            <w:textDirection w:val="lrTb"/>
            <w:noWrap w:val="false"/>
          </w:tcPr>
          <w:p>
            <w:pPr>
              <w:pStyle w:val="980"/>
              <w:numPr>
                <w:ilvl w:val="0"/>
                <w:numId w:val="8"/>
              </w:num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892" w:type="dxa"/>
            <w:vAlign w:val="center"/>
            <w:textDirection w:val="lrTb"/>
            <w:noWrap w:val="false"/>
          </w:tcPr>
          <w:p>
            <w:pPr>
              <w:keepNext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ответственности и гарантиям подрядчика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87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704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9892" w:type="dxa"/>
            <w:textDirection w:val="lrTb"/>
            <w:noWrap w:val="false"/>
          </w:tcPr>
          <w:p>
            <w:pPr>
              <w:keepNext/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87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</w:tbl>
    <w:p>
      <w:pPr>
        <w:jc w:val="center"/>
        <w:rPr>
          <w:b/>
          <w:sz w:val="24"/>
          <w:szCs w:val="24"/>
          <w:highlight w:val="yellow"/>
        </w:rPr>
      </w:pPr>
      <w:r>
        <w:rPr>
          <w:b/>
          <w:sz w:val="24"/>
          <w:szCs w:val="24"/>
          <w:highlight w:val="yellow"/>
        </w:rPr>
      </w:r>
      <w:r>
        <w:rPr>
          <w:b/>
          <w:sz w:val="24"/>
          <w:szCs w:val="24"/>
          <w:highlight w:val="yellow"/>
        </w:rPr>
      </w:r>
      <w:r>
        <w:rPr>
          <w:b/>
          <w:sz w:val="24"/>
          <w:szCs w:val="24"/>
          <w:highlight w:val="yellow"/>
        </w:rPr>
      </w:r>
    </w:p>
    <w:p>
      <w:pPr>
        <w:jc w:val="center"/>
        <w:rPr>
          <w:b/>
          <w:sz w:val="24"/>
          <w:szCs w:val="24"/>
          <w:highlight w:val="yellow"/>
        </w:rPr>
        <w:sectPr>
          <w:footnotePr/>
          <w:endnotePr/>
          <w:type w:val="nextPage"/>
          <w:pgSz w:w="16838" w:h="11906" w:orient="landscape"/>
          <w:pgMar w:top="851" w:right="567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b/>
          <w:sz w:val="24"/>
          <w:szCs w:val="24"/>
          <w:highlight w:val="yellow"/>
        </w:rPr>
      </w:r>
      <w:r>
        <w:rPr>
          <w:b/>
          <w:sz w:val="24"/>
          <w:szCs w:val="24"/>
          <w:highlight w:val="yellow"/>
        </w:rPr>
      </w:r>
      <w:r>
        <w:rPr>
          <w:b/>
          <w:sz w:val="24"/>
          <w:szCs w:val="24"/>
          <w:highlight w:val="yellow"/>
        </w:rPr>
      </w:r>
    </w:p>
    <w:p>
      <w:pPr>
        <w:pStyle w:val="749"/>
        <w:ind w:left="357" w:hanging="357"/>
        <w:jc w:val="center"/>
        <w:keepLines/>
      </w:pPr>
      <w:r/>
      <w:bookmarkStart w:id="0" w:name="undefined"/>
      <w:r/>
      <w:bookmarkStart w:id="0" w:name="undefined"/>
      <w:r/>
      <w:bookmarkStart w:id="0" w:name="undefined"/>
      <w:r/>
      <w:bookmarkStart w:id="0" w:name="undefined"/>
      <w:r>
        <w:rPr>
          <w:rFonts w:eastAsiaTheme="minorEastAsia"/>
        </w:rPr>
        <w:t xml:space="preserve">Требования к документации по ценообразованию</w:t>
      </w:r>
      <w:bookmarkEnd w:id="0"/>
      <w:r>
        <w:rPr>
          <w:rFonts w:eastAsiaTheme="minorEastAsia"/>
        </w:rPr>
        <w:t xml:space="preserve"> на этапе закупки</w:t>
      </w:r>
      <w:r/>
    </w:p>
    <w:p>
      <w:pPr>
        <w:pStyle w:val="752"/>
        <w:ind w:left="1418" w:hanging="709"/>
        <w:jc w:val="both"/>
        <w:rPr>
          <w:sz w:val="24"/>
          <w:szCs w:val="24"/>
          <w:highlight w:val="none"/>
        </w:rPr>
      </w:pPr>
      <w:r>
        <w:rPr>
          <w:highlight w:val="none"/>
        </w:rPr>
      </w:r>
      <w:bookmarkStart w:id="0" w:name="undefined"/>
      <w:r>
        <w:rPr>
          <w:b w:val="0"/>
          <w:bCs w:val="0"/>
          <w:iCs/>
          <w:szCs w:val="22"/>
          <w:highlight w:val="none"/>
        </w:rPr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 </w:t>
      </w:r>
      <w:r>
        <w:rPr>
          <w:b w:val="0"/>
          <w:bCs w:val="0"/>
          <w:sz w:val="24"/>
          <w:szCs w:val="24"/>
          <w:highlight w:val="none"/>
        </w:rPr>
        <w:t xml:space="preserve">Стоимость предложений участников определяется по формуле: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1417" w:right="0" w:firstLine="0"/>
        <w:jc w:val="center"/>
        <w:spacing w:before="0" w:line="240" w:lineRule="auto"/>
        <w:tabs>
          <w:tab w:val="left" w:pos="567" w:leader="none"/>
        </w:tabs>
        <w:rPr>
          <w:sz w:val="24"/>
          <w:szCs w:val="24"/>
          <w:highlight w:val="none"/>
        </w:rPr>
      </w:pPr>
      <w:r>
        <w:rPr>
          <w:i w:val="0"/>
          <w:iCs w:val="0"/>
          <w:sz w:val="24"/>
          <w:szCs w:val="24"/>
          <w:highlight w:val="none"/>
        </w:rPr>
        <w:t xml:space="preserve">P=N*k,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1417" w:right="0" w:firstLine="0"/>
        <w:jc w:val="both"/>
        <w:spacing w:before="0" w:line="240" w:lineRule="auto"/>
        <w:tabs>
          <w:tab w:val="left" w:pos="567" w:leader="none"/>
        </w:tabs>
        <w:rPr>
          <w:sz w:val="24"/>
          <w:szCs w:val="24"/>
          <w:highlight w:val="none"/>
        </w:rPr>
      </w:pPr>
      <w:r>
        <w:rPr>
          <w:i w:val="0"/>
          <w:iCs w:val="0"/>
          <w:sz w:val="24"/>
          <w:szCs w:val="24"/>
          <w:highlight w:val="none"/>
        </w:rPr>
        <w:t xml:space="preserve">где     P – стоимость предложения участника;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1417" w:right="0" w:firstLine="0"/>
        <w:jc w:val="both"/>
        <w:spacing w:before="0" w:line="240" w:lineRule="auto"/>
        <w:tabs>
          <w:tab w:val="left" w:pos="567" w:leader="none"/>
        </w:tabs>
        <w:rPr>
          <w:bCs w:val="0"/>
          <w:i w:val="0"/>
          <w:sz w:val="24"/>
          <w:szCs w:val="24"/>
          <w:highlight w:val="none"/>
        </w:rPr>
      </w:pPr>
      <w:r>
        <w:rPr>
          <w:i w:val="0"/>
          <w:iCs w:val="0"/>
          <w:sz w:val="24"/>
          <w:szCs w:val="24"/>
          <w:highlight w:val="none"/>
        </w:rPr>
        <w:t xml:space="preserve">N – начальная (максимальная) цена договора</w:t>
      </w:r>
      <w:r>
        <w:rPr>
          <w:i w:val="0"/>
          <w:iCs w:val="0"/>
          <w:sz w:val="24"/>
          <w:szCs w:val="24"/>
          <w:highlight w:val="none"/>
        </w:rPr>
        <w:t xml:space="preserve"> (цена лота)</w:t>
      </w:r>
      <w:r>
        <w:rPr>
          <w:i w:val="0"/>
          <w:iCs w:val="0"/>
          <w:sz w:val="24"/>
          <w:szCs w:val="24"/>
          <w:highlight w:val="none"/>
        </w:rPr>
        <w:t xml:space="preserve">, определенная в соответствии со сметной документацией Заказчика, приведенной в приложении №3 к настоящим Техническим требованиям; </w:t>
      </w:r>
      <w:r>
        <w:rPr>
          <w:bCs w:val="0"/>
          <w:i w:val="0"/>
          <w:sz w:val="24"/>
          <w:szCs w:val="24"/>
          <w:highlight w:val="none"/>
        </w:rPr>
      </w:r>
      <w:r>
        <w:rPr>
          <w:bCs w:val="0"/>
          <w:i w:val="0"/>
          <w:sz w:val="24"/>
          <w:szCs w:val="24"/>
          <w:highlight w:val="none"/>
        </w:rPr>
      </w:r>
    </w:p>
    <w:p>
      <w:pPr>
        <w:ind w:left="1417" w:right="0" w:firstLine="0"/>
        <w:jc w:val="both"/>
        <w:spacing w:before="0" w:line="240" w:lineRule="auto"/>
        <w:tabs>
          <w:tab w:val="left" w:pos="567" w:leader="none"/>
        </w:tabs>
        <w:rPr>
          <w:bCs w:val="0"/>
          <w:i w:val="0"/>
          <w:sz w:val="24"/>
          <w:szCs w:val="24"/>
          <w:highlight w:val="none"/>
        </w:rPr>
      </w:pPr>
      <w:r>
        <w:rPr>
          <w:bCs w:val="0"/>
          <w:i w:val="0"/>
          <w:sz w:val="24"/>
          <w:szCs w:val="24"/>
          <w:highlight w:val="none"/>
        </w:rPr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k – </w:t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понижающий коэффициент, заявленный участником </w:t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в расчете цены заявки, величину данного коэффициента рекомендуется учитывать с округлением до 7 знаков после запятой</w:t>
      </w:r>
      <w:r>
        <w:rPr>
          <w:b w:val="0"/>
          <w:bCs w:val="0"/>
          <w:iCs/>
          <w:sz w:val="24"/>
          <w:szCs w:val="24"/>
          <w:highlight w:val="none"/>
        </w:rPr>
        <w:t xml:space="preserve">.</w:t>
      </w:r>
      <w:r>
        <w:rPr>
          <w:bCs w:val="0"/>
          <w:i w:val="0"/>
          <w:sz w:val="24"/>
          <w:szCs w:val="24"/>
          <w:highlight w:val="none"/>
        </w:rPr>
      </w:r>
      <w:r>
        <w:rPr>
          <w:bCs w:val="0"/>
          <w:i w:val="0"/>
          <w:sz w:val="24"/>
          <w:szCs w:val="24"/>
          <w:highlight w:val="none"/>
        </w:rPr>
      </w:r>
    </w:p>
    <w:p>
      <w:pPr>
        <w:pStyle w:val="752"/>
        <w:ind w:left="1418" w:hanging="709"/>
        <w:jc w:val="both"/>
        <w:rPr>
          <w:b w:val="0"/>
          <w:iCs/>
          <w:szCs w:val="22"/>
        </w:rPr>
      </w:pPr>
      <w:r>
        <w:rPr>
          <w:b w:val="0"/>
          <w:iCs/>
          <w:szCs w:val="22"/>
        </w:rPr>
        <w:t xml:space="preserve">Дополнительные документы по ценообразованию (сметная документация) в состав заявки Участника не включаются.</w:t>
      </w:r>
      <w:bookmarkEnd w:id="0"/>
      <w:r>
        <w:rPr>
          <w:b w:val="0"/>
          <w:iCs/>
          <w:szCs w:val="22"/>
        </w:rPr>
      </w:r>
      <w:r>
        <w:rPr>
          <w:b w:val="0"/>
          <w:iCs/>
          <w:szCs w:val="22"/>
        </w:rPr>
      </w:r>
    </w:p>
    <w:p>
      <w:pPr>
        <w:ind w:firstLine="709"/>
        <w:jc w:val="both"/>
        <w:spacing w:line="276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9"/>
        <w:ind w:left="357" w:hanging="357"/>
        <w:jc w:val="center"/>
        <w:keepLines/>
      </w:pPr>
      <w:r/>
      <w:bookmarkStart w:id="0" w:name="undefined"/>
      <w:r>
        <w:rPr>
          <w:rFonts w:eastAsiaTheme="minorEastAsia"/>
        </w:rPr>
        <w:t xml:space="preserve">Требования к документации по ценообразованию на этапе заключения (исполнения) договора</w:t>
      </w:r>
      <w:bookmarkEnd w:id="0"/>
      <w:r/>
      <w:r/>
    </w:p>
    <w:p>
      <w:pPr>
        <w:pStyle w:val="1040"/>
        <w:ind w:left="0" w:firstLine="720"/>
        <w:spacing w:before="0" w:after="0"/>
        <w:tabs>
          <w:tab w:val="clear" w:pos="1440" w:leader="none"/>
        </w:tabs>
      </w:pPr>
      <w:r>
        <w:rPr>
          <w:b w:val="0"/>
          <w:bCs w:val="0"/>
          <w:color w:val="000000" w:themeColor="text1"/>
        </w:rPr>
        <w:t xml:space="preserve"> </w:t>
      </w:r>
      <w:r>
        <w:rPr>
          <w:b w:val="0"/>
          <w:bCs w:val="0"/>
          <w:color w:val="000000" w:themeColor="text1"/>
        </w:rPr>
        <w:tab/>
      </w:r>
      <w:r>
        <w:rPr>
          <w:b w:val="0"/>
          <w:bCs w:val="0"/>
          <w:color w:val="000000" w:themeColor="text1"/>
        </w:rPr>
        <w:tab/>
      </w:r>
      <w:r>
        <w:rPr>
          <w:b w:val="0"/>
          <w:bCs w:val="0"/>
          <w:color w:val="000000" w:themeColor="text1"/>
        </w:rPr>
        <w:tab/>
        <w:t xml:space="preserve">4.1.   Требования к составлению сметной документации (при заключении договора):</w:t>
      </w:r>
      <w:r/>
    </w:p>
    <w:p>
      <w:pPr>
        <w:pStyle w:val="1040"/>
        <w:ind w:left="0" w:firstLine="720"/>
        <w:spacing w:before="0" w:after="0"/>
        <w:tabs>
          <w:tab w:val="clear" w:pos="1440" w:leader="none"/>
        </w:tabs>
        <w:rPr>
          <w:color w:val="000000" w:themeColor="text1"/>
          <w:highlight w:val="yellow"/>
        </w:rPr>
      </w:pPr>
      <w:r>
        <w:rPr>
          <w:b w:val="0"/>
          <w:bCs w:val="0"/>
          <w:color w:val="000000" w:themeColor="text1"/>
        </w:rPr>
        <w:t xml:space="preserve"> 4.1.1.</w:t>
      </w:r>
      <w:r>
        <w:rPr>
          <w:b w:val="0"/>
          <w:bCs w:val="0"/>
          <w:color w:val="000000" w:themeColor="text1"/>
        </w:rPr>
        <w:tab/>
        <w:t xml:space="preserve">Сметная документация разрабатывается </w:t>
      </w:r>
      <w:r>
        <w:rPr>
          <w:b w:val="0"/>
          <w:bCs w:val="0"/>
          <w:color w:val="000000" w:themeColor="text1"/>
        </w:rPr>
        <w:t xml:space="preserve">исполнителем,  с</w:t>
      </w:r>
      <w:r>
        <w:rPr>
          <w:b w:val="0"/>
          <w:bCs w:val="0"/>
          <w:color w:val="000000" w:themeColor="text1"/>
        </w:rPr>
        <w:t xml:space="preserve"> которым принято решение о заключении договора в соответствии с требованиями, указанными в приложении №1 к ТТ. </w:t>
      </w:r>
      <w:r>
        <w:rPr>
          <w:b w:val="0"/>
          <w:bCs w:val="0"/>
          <w:iCs/>
        </w:rPr>
        <w:t xml:space="preserve"> </w:t>
      </w:r>
      <w:r>
        <w:rPr>
          <w:color w:val="000000" w:themeColor="text1"/>
          <w:highlight w:val="yellow"/>
        </w:rPr>
      </w:r>
      <w:r>
        <w:rPr>
          <w:color w:val="000000" w:themeColor="text1"/>
          <w:highlight w:val="yellow"/>
        </w:rPr>
      </w:r>
    </w:p>
    <w:p>
      <w:pPr>
        <w:pStyle w:val="749"/>
        <w:ind w:left="357" w:hanging="357"/>
        <w:jc w:val="center"/>
        <w:keepLines/>
        <w:rPr>
          <w:iCs/>
          <w:caps/>
        </w:rPr>
      </w:pPr>
      <w:r/>
      <w:bookmarkStart w:id="0" w:name="undefined"/>
      <w:r>
        <w:rPr>
          <w:rFonts w:eastAsiaTheme="minorEastAsia"/>
          <w:iCs/>
        </w:rPr>
        <w:t xml:space="preserve">Приложения</w:t>
      </w:r>
      <w:bookmarkEnd w:id="0"/>
      <w:r>
        <w:rPr>
          <w:iCs/>
          <w:caps/>
        </w:rPr>
      </w:r>
      <w:r>
        <w:rPr>
          <w:iCs/>
          <w:caps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b w:val="0"/>
          <w:bCs/>
          <w:i w:val="0"/>
          <w:iCs/>
          <w:sz w:val="24"/>
          <w:szCs w:val="24"/>
        </w:rPr>
      </w:pPr>
      <w:r>
        <w:rPr>
          <w:b w:val="0"/>
          <w:bCs/>
          <w:i w:val="0"/>
          <w:iCs/>
          <w:sz w:val="24"/>
          <w:szCs w:val="24"/>
        </w:rPr>
      </w:r>
      <w:r>
        <w:rPr>
          <w:b w:val="0"/>
          <w:bCs/>
          <w:i w:val="0"/>
          <w:iCs/>
          <w:sz w:val="24"/>
          <w:szCs w:val="24"/>
        </w:rPr>
      </w:r>
      <w:r>
        <w:rPr>
          <w:b w:val="0"/>
          <w:bCs/>
          <w:i w:val="0"/>
          <w:iCs/>
          <w:sz w:val="24"/>
          <w:szCs w:val="24"/>
        </w:rPr>
      </w:r>
    </w:p>
    <w:p>
      <w:pPr>
        <w:contextualSpacing/>
        <w:ind w:right="-142"/>
        <w:jc w:val="both"/>
        <w:spacing w:before="60"/>
        <w:shd w:val="clear" w:color="ffffff" w:themeColor="background1" w:fill="ffffff" w:themeFill="background1"/>
        <w:widowControl w:val="off"/>
        <w:tabs>
          <w:tab w:val="left" w:pos="426" w:leader="none"/>
        </w:tabs>
        <w:rPr>
          <w:sz w:val="24"/>
          <w:szCs w:val="24"/>
          <w:highlight w:val="none"/>
        </w:rPr>
      </w:pPr>
      <w:r>
        <w:rPr>
          <w:bCs/>
          <w:iCs/>
          <w:sz w:val="24"/>
          <w:szCs w:val="24"/>
          <w:highlight w:val="none"/>
        </w:rPr>
        <w:t xml:space="preserve">Приложение №1: </w:t>
      </w:r>
      <w:r>
        <w:rPr>
          <w:sz w:val="24"/>
          <w:highlight w:val="none"/>
        </w:rPr>
        <w:t xml:space="preserve">Требования к оформлению и составлению документации по ценообразованию</w:t>
      </w:r>
      <w:r>
        <w:rPr>
          <w:bCs/>
          <w:iCs/>
          <w:sz w:val="24"/>
          <w:szCs w:val="24"/>
          <w:highlight w:val="none"/>
        </w:rPr>
        <w:t xml:space="preserve">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contextualSpacing/>
        <w:jc w:val="both"/>
        <w:spacing w:before="60"/>
        <w:shd w:val="clear" w:color="ffffff" w:themeColor="background1" w:fill="ffffff" w:themeFill="background1"/>
        <w:widowControl w:val="off"/>
        <w:tabs>
          <w:tab w:val="left" w:pos="426" w:leader="none"/>
        </w:tabs>
        <w:rPr>
          <w:bCs/>
          <w:iCs/>
          <w:strike w:val="0"/>
          <w:sz w:val="24"/>
          <w:szCs w:val="24"/>
          <w:highlight w:val="none"/>
        </w:rPr>
      </w:pPr>
      <w:r>
        <w:rPr>
          <w:bCs/>
          <w:iCs/>
          <w:sz w:val="24"/>
          <w:szCs w:val="24"/>
          <w:highlight w:val="none"/>
        </w:rPr>
        <w:t xml:space="preserve">Приложение №2: Ведомость </w:t>
      </w:r>
      <w:r>
        <w:rPr>
          <w:bCs/>
          <w:iCs/>
          <w:strike w:val="0"/>
          <w:sz w:val="24"/>
          <w:szCs w:val="24"/>
          <w:highlight w:val="none"/>
        </w:rPr>
        <w:t xml:space="preserve">оказания услуг</w:t>
      </w:r>
      <w:r>
        <w:rPr>
          <w:bCs/>
          <w:iCs/>
          <w:strike w:val="0"/>
          <w:sz w:val="24"/>
          <w:szCs w:val="24"/>
          <w:highlight w:val="none"/>
        </w:rPr>
        <w:t xml:space="preserve"> </w:t>
      </w:r>
      <w:r>
        <w:rPr>
          <w:bCs/>
          <w:iCs/>
          <w:strike w:val="0"/>
          <w:sz w:val="24"/>
          <w:szCs w:val="24"/>
          <w:highlight w:val="none"/>
        </w:rPr>
      </w:r>
      <w:r>
        <w:rPr>
          <w:bCs/>
          <w:iCs/>
          <w:strike w:val="0"/>
          <w:sz w:val="24"/>
          <w:szCs w:val="24"/>
          <w:highlight w:val="none"/>
        </w:rPr>
      </w:r>
    </w:p>
    <w:p>
      <w:pPr>
        <w:contextualSpacing/>
        <w:jc w:val="both"/>
        <w:spacing w:after="12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Приложение №3: </w:t>
      </w:r>
      <w:r>
        <w:rPr>
          <w:color w:val="000000" w:themeColor="text1"/>
          <w:sz w:val="24"/>
          <w:szCs w:val="24"/>
          <w:highlight w:val="none"/>
        </w:rPr>
        <w:t xml:space="preserve">Расчет стоимости Услуг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contextualSpacing/>
        <w:jc w:val="both"/>
        <w:spacing w:after="12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Приложение № 4. </w:t>
      </w:r>
      <w:r>
        <w:rPr>
          <w:sz w:val="22"/>
          <w:szCs w:val="22"/>
          <w:highlight w:val="none"/>
        </w:rPr>
        <w:t xml:space="preserve">Положение 22.1-504-2025 «О допуске персонала подрядных организаций к выполнению работ на объектах АО «ДГК» (утверждено приказом АО «ДГК» от 25.09.2025г. №П-ДГК/795)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contextualSpacing/>
        <w:jc w:val="both"/>
        <w:spacing w:after="12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Приложение №5: </w:t>
      </w:r>
      <w:r>
        <w:rPr>
          <w:sz w:val="22"/>
          <w:szCs w:val="22"/>
          <w:highlight w:val="none"/>
        </w:rPr>
        <w:t xml:space="preserve">Инструкцией по организации пропускного режима НГРЭС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contextualSpacing/>
        <w:spacing w:after="12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r/>
      <w:r/>
    </w:p>
    <w:p>
      <w:r/>
      <w:r/>
    </w:p>
    <w:p>
      <w:pPr>
        <w:jc w:val="both"/>
        <w:spacing w:before="60"/>
        <w:shd w:val="clear" w:color="ffffff" w:themeColor="background1" w:fill="ffffff" w:themeFill="background1"/>
        <w:widowControl w:val="off"/>
        <w:tabs>
          <w:tab w:val="left" w:pos="426" w:leader="none"/>
        </w:tabs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MS Mincho">
    <w:panose1 w:val="0202050305040509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5"/>
      <w:rPr>
        <w:rStyle w:val="947"/>
      </w:rPr>
      <w:framePr w:wrap="around" w:vAnchor="text" w:hAnchor="margin" w:xAlign="center" w:y="1"/>
    </w:pPr>
    <w:r>
      <w:rPr>
        <w:rStyle w:val="947"/>
      </w:rPr>
      <w:fldChar w:fldCharType="begin"/>
    </w:r>
    <w:r>
      <w:rPr>
        <w:rStyle w:val="947"/>
      </w:rPr>
      <w:instrText xml:space="preserve">PAGE  </w:instrText>
    </w:r>
    <w:r>
      <w:rPr>
        <w:rStyle w:val="947"/>
      </w:rPr>
      <w:fldChar w:fldCharType="separate"/>
    </w:r>
    <w:r>
      <w:rPr>
        <w:rStyle w:val="947"/>
      </w:rPr>
      <w:t xml:space="preserve">6</w:t>
    </w:r>
    <w:r>
      <w:rPr>
        <w:rStyle w:val="947"/>
      </w:rPr>
      <w:fldChar w:fldCharType="end"/>
    </w:r>
    <w:r>
      <w:rPr>
        <w:rStyle w:val="947"/>
      </w:rPr>
    </w:r>
    <w:r>
      <w:rPr>
        <w:rStyle w:val="947"/>
      </w:rPr>
    </w:r>
  </w:p>
  <w:p>
    <w:pPr>
      <w:pStyle w:val="93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space"/>
      <w:lvlText w:val="–"/>
      <w:lvlJc w:val="left"/>
      <w:pPr>
        <w:ind w:left="709" w:hanging="360"/>
      </w:pPr>
      <w:rPr>
        <w:rFonts w:hint="default" w:ascii="Arial" w:hAnsi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14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15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18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16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17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pStyle w:val="92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28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styleLink w:val="1004"/>
    <w:lvl w:ilvl="0">
      <w:start w:val="3"/>
      <w:numFmt w:val="decimal"/>
      <w:pStyle w:val="100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rFonts w:hint="default"/>
        <w:b w:val="0"/>
        <w:bCs/>
        <w:i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pStyle w:val="1026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styleLink w:val="1008"/>
    <w:lvl w:ilvl="0">
      <w:start w:val="1"/>
      <w:numFmt w:val="decimal"/>
      <w:pStyle w:val="1008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8">
    <w:multiLevelType w:val="hybridMultilevel"/>
    <w:lvl w:ilvl="0">
      <w:start w:val="4"/>
      <w:numFmt w:val="bullet"/>
      <w:pStyle w:val="995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96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94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pStyle w:val="749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52"/>
      <w:isLgl w:val="false"/>
      <w:suff w:val="tab"/>
      <w:lvlText w:val="%1.%2."/>
      <w:lvlJc w:val="left"/>
      <w:pPr>
        <w:ind w:left="1140" w:hanging="432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pStyle w:val="751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18"/>
  </w:num>
  <w:num w:numId="3">
    <w:abstractNumId w:val="11"/>
  </w:num>
  <w:num w:numId="4">
    <w:abstractNumId w:val="20"/>
  </w:num>
  <w:num w:numId="5">
    <w:abstractNumId w:val="17"/>
  </w:num>
  <w:num w:numId="6">
    <w:abstractNumId w:val="5"/>
  </w:num>
  <w:num w:numId="7">
    <w:abstractNumId w:val="15"/>
  </w:num>
  <w:num w:numId="8">
    <w:abstractNumId w:val="21"/>
  </w:num>
  <w:num w:numId="9">
    <w:abstractNumId w:val="4"/>
  </w:num>
  <w:num w:numId="10">
    <w:abstractNumId w:val="1"/>
  </w:num>
  <w:num w:numId="11">
    <w:abstractNumId w:val="16"/>
  </w:num>
  <w:num w:numId="12">
    <w:abstractNumId w:val="9"/>
  </w:num>
  <w:num w:numId="13">
    <w:abstractNumId w:val="0"/>
  </w:num>
  <w:num w:numId="14">
    <w:abstractNumId w:val="2"/>
  </w:num>
  <w:num w:numId="15">
    <w:abstractNumId w:val="23"/>
  </w:num>
  <w:num w:numId="16">
    <w:abstractNumId w:val="10"/>
  </w:num>
  <w:num w:numId="17">
    <w:abstractNumId w:val="8"/>
  </w:num>
  <w:num w:numId="18">
    <w:abstractNumId w:val="12"/>
  </w:num>
  <w:num w:numId="19">
    <w:abstractNumId w:val="13"/>
  </w:num>
  <w:num w:numId="20">
    <w:abstractNumId w:val="22"/>
  </w:num>
  <w:num w:numId="21">
    <w:abstractNumId w:val="3"/>
  </w:num>
  <w:num w:numId="22">
    <w:abstractNumId w:val="19"/>
  </w:num>
  <w:num w:numId="23">
    <w:abstractNumId w:val="7"/>
  </w:num>
  <w:num w:numId="24">
    <w:abstractNumId w:val="14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8" w:default="1">
    <w:name w:val="Normal"/>
    <w:qFormat/>
    <w:rPr>
      <w:sz w:val="28"/>
      <w:szCs w:val="28"/>
    </w:rPr>
  </w:style>
  <w:style w:type="paragraph" w:styleId="749">
    <w:name w:val="Heading 1"/>
    <w:basedOn w:val="751"/>
    <w:next w:val="748"/>
    <w:link w:val="967"/>
    <w:qFormat/>
    <w:pPr>
      <w:numPr>
        <w:ilvl w:val="0"/>
      </w:numPr>
      <w:outlineLvl w:val="0"/>
    </w:pPr>
    <w:rPr>
      <w:sz w:val="28"/>
      <w:szCs w:val="28"/>
    </w:rPr>
  </w:style>
  <w:style w:type="paragraph" w:styleId="750">
    <w:name w:val="Heading 2"/>
    <w:basedOn w:val="752"/>
    <w:next w:val="748"/>
    <w:link w:val="969"/>
    <w:qFormat/>
    <w:pPr>
      <w:outlineLvl w:val="1"/>
    </w:pPr>
  </w:style>
  <w:style w:type="paragraph" w:styleId="751">
    <w:name w:val="Heading 3"/>
    <w:basedOn w:val="748"/>
    <w:next w:val="748"/>
    <w:link w:val="970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52">
    <w:name w:val="Heading 4"/>
    <w:basedOn w:val="751"/>
    <w:next w:val="748"/>
    <w:link w:val="971"/>
    <w:qFormat/>
    <w:pPr>
      <w:numPr>
        <w:ilvl w:val="1"/>
      </w:numPr>
      <w:outlineLvl w:val="3"/>
    </w:pPr>
    <w:rPr>
      <w:bCs/>
    </w:rPr>
  </w:style>
  <w:style w:type="paragraph" w:styleId="753">
    <w:name w:val="Heading 5"/>
    <w:basedOn w:val="748"/>
    <w:next w:val="748"/>
    <w:link w:val="972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54">
    <w:name w:val="Heading 6"/>
    <w:basedOn w:val="748"/>
    <w:next w:val="748"/>
    <w:link w:val="964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55">
    <w:name w:val="Heading 7"/>
    <w:basedOn w:val="748"/>
    <w:next w:val="748"/>
    <w:link w:val="965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56">
    <w:name w:val="Heading 8"/>
    <w:basedOn w:val="748"/>
    <w:next w:val="748"/>
    <w:link w:val="966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57">
    <w:name w:val="Heading 9"/>
    <w:basedOn w:val="748"/>
    <w:next w:val="748"/>
    <w:link w:val="973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58" w:default="1">
    <w:name w:val="Default Paragraph Font"/>
    <w:uiPriority w:val="1"/>
    <w:semiHidden/>
    <w:unhideWhenUsed/>
  </w:style>
  <w:style w:type="table" w:styleId="75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0" w:default="1">
    <w:name w:val="No List"/>
    <w:uiPriority w:val="99"/>
    <w:semiHidden/>
    <w:unhideWhenUsed/>
  </w:style>
  <w:style w:type="character" w:styleId="761" w:customStyle="1">
    <w:name w:val="Caption Char"/>
    <w:basedOn w:val="758"/>
    <w:uiPriority w:val="35"/>
    <w:rPr>
      <w:b/>
      <w:bCs/>
      <w:color w:val="4472c4" w:themeColor="accent1"/>
      <w:sz w:val="18"/>
      <w:szCs w:val="18"/>
    </w:rPr>
  </w:style>
  <w:style w:type="table" w:styleId="762">
    <w:name w:val="Plain Table 1"/>
    <w:basedOn w:val="75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3">
    <w:name w:val="Plain Table 2"/>
    <w:basedOn w:val="75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>
    <w:name w:val="Plain Table 3"/>
    <w:basedOn w:val="75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5">
    <w:name w:val="Plain Table 4"/>
    <w:basedOn w:val="75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Plain Table 5"/>
    <w:basedOn w:val="75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7">
    <w:name w:val="Grid Table 1 Light"/>
    <w:basedOn w:val="75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2"/>
    <w:basedOn w:val="75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"/>
    <w:basedOn w:val="75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4"/>
    <w:basedOn w:val="75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1">
    <w:name w:val="Grid Table 5 Dark"/>
    <w:basedOn w:val="75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2">
    <w:name w:val="Grid Table 6 Colorful"/>
    <w:basedOn w:val="75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3">
    <w:name w:val="Grid Table 7 Colorful"/>
    <w:basedOn w:val="75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"/>
    <w:basedOn w:val="75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2"/>
    <w:basedOn w:val="75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6">
    <w:name w:val="List Table 3"/>
    <w:basedOn w:val="75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"/>
    <w:basedOn w:val="75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basedOn w:val="75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>
    <w:name w:val="List Table 6 Colorful"/>
    <w:basedOn w:val="75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0">
    <w:name w:val="List Table 7 Colorful"/>
    <w:basedOn w:val="75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character" w:styleId="781" w:customStyle="1">
    <w:name w:val="Title Char"/>
    <w:basedOn w:val="758"/>
    <w:uiPriority w:val="10"/>
    <w:rPr>
      <w:sz w:val="48"/>
      <w:szCs w:val="48"/>
    </w:rPr>
  </w:style>
  <w:style w:type="character" w:styleId="782" w:customStyle="1">
    <w:name w:val="Heading 1 Char"/>
    <w:basedOn w:val="758"/>
    <w:uiPriority w:val="9"/>
    <w:rPr>
      <w:rFonts w:ascii="Arial" w:hAnsi="Arial" w:eastAsia="Arial" w:cs="Arial"/>
      <w:sz w:val="40"/>
      <w:szCs w:val="40"/>
    </w:rPr>
  </w:style>
  <w:style w:type="character" w:styleId="783" w:customStyle="1">
    <w:name w:val="Heading 2 Char"/>
    <w:basedOn w:val="758"/>
    <w:uiPriority w:val="9"/>
    <w:rPr>
      <w:rFonts w:ascii="Arial" w:hAnsi="Arial" w:eastAsia="Arial" w:cs="Arial"/>
      <w:sz w:val="34"/>
    </w:rPr>
  </w:style>
  <w:style w:type="character" w:styleId="784" w:customStyle="1">
    <w:name w:val="Heading 3 Char"/>
    <w:basedOn w:val="758"/>
    <w:uiPriority w:val="9"/>
    <w:rPr>
      <w:rFonts w:ascii="Arial" w:hAnsi="Arial" w:eastAsia="Arial" w:cs="Arial"/>
      <w:sz w:val="30"/>
      <w:szCs w:val="30"/>
    </w:rPr>
  </w:style>
  <w:style w:type="character" w:styleId="785" w:customStyle="1">
    <w:name w:val="Heading 4 Char"/>
    <w:basedOn w:val="758"/>
    <w:uiPriority w:val="9"/>
    <w:rPr>
      <w:rFonts w:ascii="Arial" w:hAnsi="Arial" w:eastAsia="Arial" w:cs="Arial"/>
      <w:b/>
      <w:bCs/>
      <w:sz w:val="26"/>
      <w:szCs w:val="26"/>
    </w:rPr>
  </w:style>
  <w:style w:type="character" w:styleId="786" w:customStyle="1">
    <w:name w:val="Heading 5 Char"/>
    <w:basedOn w:val="758"/>
    <w:uiPriority w:val="9"/>
    <w:rPr>
      <w:rFonts w:ascii="Arial" w:hAnsi="Arial" w:eastAsia="Arial" w:cs="Arial"/>
      <w:b/>
      <w:bCs/>
      <w:sz w:val="24"/>
      <w:szCs w:val="24"/>
    </w:rPr>
  </w:style>
  <w:style w:type="character" w:styleId="787" w:customStyle="1">
    <w:name w:val="Heading 6 Char"/>
    <w:basedOn w:val="758"/>
    <w:uiPriority w:val="9"/>
    <w:rPr>
      <w:rFonts w:ascii="Arial" w:hAnsi="Arial" w:eastAsia="Arial" w:cs="Arial"/>
      <w:b/>
      <w:bCs/>
      <w:sz w:val="22"/>
      <w:szCs w:val="22"/>
    </w:rPr>
  </w:style>
  <w:style w:type="character" w:styleId="788" w:customStyle="1">
    <w:name w:val="Heading 7 Char"/>
    <w:basedOn w:val="75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9" w:customStyle="1">
    <w:name w:val="Heading 8 Char"/>
    <w:basedOn w:val="758"/>
    <w:uiPriority w:val="9"/>
    <w:rPr>
      <w:rFonts w:ascii="Arial" w:hAnsi="Arial" w:eastAsia="Arial" w:cs="Arial"/>
      <w:i/>
      <w:iCs/>
      <w:sz w:val="22"/>
      <w:szCs w:val="22"/>
    </w:rPr>
  </w:style>
  <w:style w:type="character" w:styleId="790" w:customStyle="1">
    <w:name w:val="Heading 9 Char"/>
    <w:basedOn w:val="758"/>
    <w:uiPriority w:val="9"/>
    <w:rPr>
      <w:rFonts w:ascii="Arial" w:hAnsi="Arial" w:eastAsia="Arial" w:cs="Arial"/>
      <w:i/>
      <w:iCs/>
      <w:sz w:val="21"/>
      <w:szCs w:val="21"/>
    </w:rPr>
  </w:style>
  <w:style w:type="paragraph" w:styleId="791">
    <w:name w:val="Title"/>
    <w:basedOn w:val="748"/>
    <w:next w:val="748"/>
    <w:link w:val="79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2" w:customStyle="1">
    <w:name w:val="Заголовок Знак"/>
    <w:basedOn w:val="758"/>
    <w:link w:val="791"/>
    <w:uiPriority w:val="10"/>
    <w:rPr>
      <w:sz w:val="48"/>
      <w:szCs w:val="48"/>
    </w:rPr>
  </w:style>
  <w:style w:type="character" w:styleId="793" w:customStyle="1">
    <w:name w:val="Subtitle Char"/>
    <w:basedOn w:val="758"/>
    <w:uiPriority w:val="11"/>
    <w:rPr>
      <w:sz w:val="24"/>
      <w:szCs w:val="24"/>
    </w:rPr>
  </w:style>
  <w:style w:type="character" w:styleId="794" w:customStyle="1">
    <w:name w:val="Quote Char"/>
    <w:uiPriority w:val="29"/>
    <w:rPr>
      <w:i/>
    </w:rPr>
  </w:style>
  <w:style w:type="character" w:styleId="795" w:customStyle="1">
    <w:name w:val="Intense Quote Char"/>
    <w:uiPriority w:val="30"/>
    <w:rPr>
      <w:i/>
    </w:rPr>
  </w:style>
  <w:style w:type="character" w:styleId="796" w:customStyle="1">
    <w:name w:val="Header Char"/>
    <w:basedOn w:val="758"/>
    <w:uiPriority w:val="99"/>
  </w:style>
  <w:style w:type="character" w:styleId="797" w:customStyle="1">
    <w:name w:val="Footer Char"/>
    <w:basedOn w:val="758"/>
    <w:uiPriority w:val="99"/>
  </w:style>
  <w:style w:type="character" w:styleId="798" w:customStyle="1">
    <w:name w:val="Название объекта Знак"/>
    <w:link w:val="975"/>
    <w:uiPriority w:val="99"/>
  </w:style>
  <w:style w:type="table" w:styleId="799" w:customStyle="1">
    <w:name w:val="Table Grid Light"/>
    <w:basedOn w:val="75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0" w:customStyle="1">
    <w:name w:val="Таблица простая 11"/>
    <w:basedOn w:val="75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1" w:customStyle="1">
    <w:name w:val="Таблица простая 21"/>
    <w:basedOn w:val="75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2" w:customStyle="1">
    <w:name w:val="Таблица простая 31"/>
    <w:basedOn w:val="75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3" w:customStyle="1">
    <w:name w:val="Таблица простая 41"/>
    <w:basedOn w:val="75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Таблица простая 51"/>
    <w:basedOn w:val="75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5" w:customStyle="1">
    <w:name w:val="Таблица-сетка 1 светлая1"/>
    <w:basedOn w:val="75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1"/>
    <w:basedOn w:val="759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2"/>
    <w:basedOn w:val="759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3"/>
    <w:basedOn w:val="759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4"/>
    <w:basedOn w:val="759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5"/>
    <w:basedOn w:val="759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6"/>
    <w:basedOn w:val="759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Таблица-сетка 21"/>
    <w:basedOn w:val="75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1"/>
    <w:basedOn w:val="759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2"/>
    <w:basedOn w:val="759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3"/>
    <w:basedOn w:val="759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4"/>
    <w:basedOn w:val="759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5"/>
    <w:basedOn w:val="759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2 - Accent 6"/>
    <w:basedOn w:val="759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Таблица-сетка 31"/>
    <w:basedOn w:val="75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1"/>
    <w:basedOn w:val="759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2"/>
    <w:basedOn w:val="759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3"/>
    <w:basedOn w:val="759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4"/>
    <w:basedOn w:val="759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5"/>
    <w:basedOn w:val="759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3 - Accent 6"/>
    <w:basedOn w:val="759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Таблица-сетка 41"/>
    <w:basedOn w:val="75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7" w:customStyle="1">
    <w:name w:val="Grid Table 4 - Accent 1"/>
    <w:basedOn w:val="759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28" w:customStyle="1">
    <w:name w:val="Grid Table 4 - Accent 2"/>
    <w:basedOn w:val="759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29" w:customStyle="1">
    <w:name w:val="Grid Table 4 - Accent 3"/>
    <w:basedOn w:val="759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30" w:customStyle="1">
    <w:name w:val="Grid Table 4 - Accent 4"/>
    <w:basedOn w:val="759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31" w:customStyle="1">
    <w:name w:val="Grid Table 4 - Accent 5"/>
    <w:basedOn w:val="759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32" w:customStyle="1">
    <w:name w:val="Grid Table 4 - Accent 6"/>
    <w:basedOn w:val="759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33" w:customStyle="1">
    <w:name w:val="Таблица-сетка 5 темная1"/>
    <w:basedOn w:val="75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- Accent 1"/>
    <w:basedOn w:val="75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 - Accent 2"/>
    <w:basedOn w:val="75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- Accent 4"/>
    <w:basedOn w:val="75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 - Accent 5"/>
    <w:basedOn w:val="75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5 Dark - Accent 6"/>
    <w:basedOn w:val="75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39" w:customStyle="1">
    <w:name w:val="Таблица-сетка 6 цветная1"/>
    <w:basedOn w:val="75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0" w:customStyle="1">
    <w:name w:val="Grid Table 6 Colorful - Accent 1"/>
    <w:basedOn w:val="759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41" w:customStyle="1">
    <w:name w:val="Grid Table 6 Colorful - Accent 2"/>
    <w:basedOn w:val="759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42" w:customStyle="1">
    <w:name w:val="Grid Table 6 Colorful - Accent 3"/>
    <w:basedOn w:val="759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43" w:customStyle="1">
    <w:name w:val="Grid Table 6 Colorful - Accent 4"/>
    <w:basedOn w:val="759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44" w:customStyle="1">
    <w:name w:val="Grid Table 6 Colorful - Accent 5"/>
    <w:basedOn w:val="759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45" w:customStyle="1">
    <w:name w:val="Grid Table 6 Colorful - Accent 6"/>
    <w:basedOn w:val="759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46" w:customStyle="1">
    <w:name w:val="Таблица-сетка 7 цветная1"/>
    <w:basedOn w:val="75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7" w:customStyle="1">
    <w:name w:val="Grid Table 7 Colorful - Accent 1"/>
    <w:basedOn w:val="759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8" w:customStyle="1">
    <w:name w:val="Grid Table 7 Colorful - Accent 2"/>
    <w:basedOn w:val="759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9" w:customStyle="1">
    <w:name w:val="Grid Table 7 Colorful - Accent 3"/>
    <w:basedOn w:val="759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0" w:customStyle="1">
    <w:name w:val="Grid Table 7 Colorful - Accent 4"/>
    <w:basedOn w:val="759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Grid Table 7 Colorful - Accent 5"/>
    <w:basedOn w:val="759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Grid Table 7 Colorful - Accent 6"/>
    <w:basedOn w:val="759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3" w:customStyle="1">
    <w:name w:val="Список-таблица 1 светлая1"/>
    <w:basedOn w:val="75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1"/>
    <w:basedOn w:val="759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2"/>
    <w:basedOn w:val="759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3"/>
    <w:basedOn w:val="759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4"/>
    <w:basedOn w:val="759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5"/>
    <w:basedOn w:val="759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6"/>
    <w:basedOn w:val="759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Список-таблица 21"/>
    <w:basedOn w:val="75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1" w:customStyle="1">
    <w:name w:val="List Table 2 - Accent 1"/>
    <w:basedOn w:val="759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2"/>
    <w:basedOn w:val="759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3"/>
    <w:basedOn w:val="759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4"/>
    <w:basedOn w:val="759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5"/>
    <w:basedOn w:val="759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66" w:customStyle="1">
    <w:name w:val="List Table 2 - Accent 6"/>
    <w:basedOn w:val="759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67" w:customStyle="1">
    <w:name w:val="Список-таблица 31"/>
    <w:basedOn w:val="75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3 - Accent 1"/>
    <w:basedOn w:val="759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2"/>
    <w:basedOn w:val="759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3"/>
    <w:basedOn w:val="759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4"/>
    <w:basedOn w:val="759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5"/>
    <w:basedOn w:val="759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6"/>
    <w:basedOn w:val="759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Список-таблица 41"/>
    <w:basedOn w:val="75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 - Accent 1"/>
    <w:basedOn w:val="759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2"/>
    <w:basedOn w:val="759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3"/>
    <w:basedOn w:val="759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4"/>
    <w:basedOn w:val="759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5"/>
    <w:basedOn w:val="759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6"/>
    <w:basedOn w:val="759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Список-таблица 5 темная1"/>
    <w:basedOn w:val="75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5 Dark - Accent 1"/>
    <w:basedOn w:val="759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2"/>
    <w:basedOn w:val="759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3"/>
    <w:basedOn w:val="759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4"/>
    <w:basedOn w:val="759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5"/>
    <w:basedOn w:val="759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6"/>
    <w:basedOn w:val="759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 w:customStyle="1">
    <w:name w:val="Список-таблица 6 цветная1"/>
    <w:basedOn w:val="75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9" w:customStyle="1">
    <w:name w:val="List Table 6 Colorful - Accent 1"/>
    <w:basedOn w:val="759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90" w:customStyle="1">
    <w:name w:val="List Table 6 Colorful - Accent 2"/>
    <w:basedOn w:val="759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91" w:customStyle="1">
    <w:name w:val="List Table 6 Colorful - Accent 3"/>
    <w:basedOn w:val="759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92" w:customStyle="1">
    <w:name w:val="List Table 6 Colorful - Accent 4"/>
    <w:basedOn w:val="759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93" w:customStyle="1">
    <w:name w:val="List Table 6 Colorful - Accent 5"/>
    <w:basedOn w:val="759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94" w:customStyle="1">
    <w:name w:val="List Table 6 Colorful - Accent 6"/>
    <w:basedOn w:val="759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95" w:customStyle="1">
    <w:name w:val="Список-таблица 7 цветная1"/>
    <w:basedOn w:val="75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6" w:customStyle="1">
    <w:name w:val="List Table 7 Colorful - Accent 1"/>
    <w:basedOn w:val="759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7" w:customStyle="1">
    <w:name w:val="List Table 7 Colorful - Accent 2"/>
    <w:basedOn w:val="759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8" w:customStyle="1">
    <w:name w:val="List Table 7 Colorful - Accent 3"/>
    <w:basedOn w:val="759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9" w:customStyle="1">
    <w:name w:val="List Table 7 Colorful - Accent 4"/>
    <w:basedOn w:val="759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0" w:customStyle="1">
    <w:name w:val="List Table 7 Colorful - Accent 5"/>
    <w:basedOn w:val="759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1" w:customStyle="1">
    <w:name w:val="List Table 7 Colorful - Accent 6"/>
    <w:basedOn w:val="759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2" w:customStyle="1">
    <w:name w:val="Lined - Accent"/>
    <w:basedOn w:val="75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3" w:customStyle="1">
    <w:name w:val="Lined - Accent 1"/>
    <w:basedOn w:val="75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04" w:customStyle="1">
    <w:name w:val="Lined - Accent 2"/>
    <w:basedOn w:val="75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05" w:customStyle="1">
    <w:name w:val="Lined - Accent 3"/>
    <w:basedOn w:val="75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06" w:customStyle="1">
    <w:name w:val="Lined - Accent 4"/>
    <w:basedOn w:val="75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07" w:customStyle="1">
    <w:name w:val="Lined - Accent 5"/>
    <w:basedOn w:val="75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08" w:customStyle="1">
    <w:name w:val="Lined - Accent 6"/>
    <w:basedOn w:val="75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09" w:customStyle="1">
    <w:name w:val="Bordered &amp; Lined - Accent"/>
    <w:basedOn w:val="75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0" w:customStyle="1">
    <w:name w:val="Bordered &amp; Lined - Accent 1"/>
    <w:basedOn w:val="759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11" w:customStyle="1">
    <w:name w:val="Bordered &amp; Lined - Accent 2"/>
    <w:basedOn w:val="759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12" w:customStyle="1">
    <w:name w:val="Bordered &amp; Lined - Accent 3"/>
    <w:basedOn w:val="759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13" w:customStyle="1">
    <w:name w:val="Bordered &amp; Lined - Accent 4"/>
    <w:basedOn w:val="759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14" w:customStyle="1">
    <w:name w:val="Bordered &amp; Lined - Accent 5"/>
    <w:basedOn w:val="759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15" w:customStyle="1">
    <w:name w:val="Bordered &amp; Lined - Accent 6"/>
    <w:basedOn w:val="759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16" w:customStyle="1">
    <w:name w:val="Bordered"/>
    <w:basedOn w:val="75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7" w:customStyle="1">
    <w:name w:val="Bordered - Accent 1"/>
    <w:basedOn w:val="759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18" w:customStyle="1">
    <w:name w:val="Bordered - Accent 2"/>
    <w:basedOn w:val="759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19" w:customStyle="1">
    <w:name w:val="Bordered - Accent 3"/>
    <w:basedOn w:val="759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20" w:customStyle="1">
    <w:name w:val="Bordered - Accent 4"/>
    <w:basedOn w:val="759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21" w:customStyle="1">
    <w:name w:val="Bordered - Accent 5"/>
    <w:basedOn w:val="759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22" w:customStyle="1">
    <w:name w:val="Bordered - Accent 6"/>
    <w:basedOn w:val="759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23" w:customStyle="1">
    <w:name w:val="Footnote Text Char"/>
    <w:uiPriority w:val="99"/>
    <w:rPr>
      <w:sz w:val="18"/>
    </w:rPr>
  </w:style>
  <w:style w:type="character" w:styleId="924" w:customStyle="1">
    <w:name w:val="Endnote Text Char"/>
    <w:uiPriority w:val="99"/>
    <w:rPr>
      <w:sz w:val="20"/>
    </w:rPr>
  </w:style>
  <w:style w:type="paragraph" w:styleId="925">
    <w:name w:val="table of figures"/>
    <w:basedOn w:val="748"/>
    <w:next w:val="748"/>
    <w:uiPriority w:val="99"/>
    <w:unhideWhenUsed/>
  </w:style>
  <w:style w:type="paragraph" w:styleId="926" w:customStyle="1">
    <w:name w:val="Название раздела инструкции"/>
    <w:basedOn w:val="748"/>
    <w:pPr>
      <w:jc w:val="center"/>
    </w:pPr>
    <w:rPr>
      <w:b/>
    </w:rPr>
  </w:style>
  <w:style w:type="paragraph" w:styleId="927" w:customStyle="1">
    <w:name w:val="Раздел положения"/>
    <w:basedOn w:val="748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28" w:customStyle="1">
    <w:name w:val="Подраздел раздела положения"/>
    <w:basedOn w:val="748"/>
    <w:pPr>
      <w:numPr>
        <w:ilvl w:val="1"/>
        <w:numId w:val="1"/>
      </w:numPr>
      <w:jc w:val="both"/>
      <w:spacing w:before="80" w:after="80"/>
    </w:pPr>
  </w:style>
  <w:style w:type="paragraph" w:styleId="929">
    <w:name w:val="footnote text"/>
    <w:basedOn w:val="748"/>
    <w:link w:val="1003"/>
    <w:uiPriority w:val="99"/>
    <w:rPr>
      <w:sz w:val="20"/>
      <w:szCs w:val="20"/>
    </w:rPr>
  </w:style>
  <w:style w:type="character" w:styleId="930">
    <w:name w:val="footnote reference"/>
    <w:rPr>
      <w:vertAlign w:val="superscript"/>
    </w:rPr>
  </w:style>
  <w:style w:type="paragraph" w:styleId="931" w:customStyle="1">
    <w:name w:val="Шапка 1"/>
    <w:basedOn w:val="748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32" w:customStyle="1">
    <w:name w:val="Шапка 2"/>
    <w:basedOn w:val="748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33" w:customStyle="1">
    <w:name w:val="Шапка 3"/>
    <w:basedOn w:val="748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34" w:customStyle="1">
    <w:name w:val="Название1"/>
    <w:basedOn w:val="748"/>
    <w:link w:val="976"/>
    <w:uiPriority w:val="10"/>
    <w:qFormat/>
    <w:pPr>
      <w:jc w:val="center"/>
    </w:pPr>
    <w:rPr>
      <w:sz w:val="20"/>
      <w:szCs w:val="20"/>
    </w:rPr>
  </w:style>
  <w:style w:type="paragraph" w:styleId="935">
    <w:name w:val="Header"/>
    <w:basedOn w:val="748"/>
    <w:link w:val="1020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36">
    <w:name w:val="Body Text Indent"/>
    <w:basedOn w:val="748"/>
    <w:pPr>
      <w:ind w:left="360"/>
    </w:pPr>
    <w:rPr>
      <w:sz w:val="24"/>
      <w:szCs w:val="24"/>
    </w:rPr>
  </w:style>
  <w:style w:type="table" w:styleId="937">
    <w:name w:val="Table Grid"/>
    <w:basedOn w:val="759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38">
    <w:name w:val="Footer"/>
    <w:basedOn w:val="748"/>
    <w:link w:val="1038"/>
    <w:uiPriority w:val="99"/>
    <w:pPr>
      <w:tabs>
        <w:tab w:val="center" w:pos="4677" w:leader="none"/>
        <w:tab w:val="right" w:pos="9355" w:leader="none"/>
      </w:tabs>
    </w:pPr>
  </w:style>
  <w:style w:type="paragraph" w:styleId="939">
    <w:name w:val="Body Text"/>
    <w:basedOn w:val="748"/>
    <w:link w:val="1006"/>
    <w:pPr>
      <w:spacing w:after="120"/>
    </w:pPr>
  </w:style>
  <w:style w:type="paragraph" w:styleId="940">
    <w:name w:val="Body Text Indent 2"/>
    <w:basedOn w:val="748"/>
    <w:pPr>
      <w:ind w:left="283"/>
      <w:spacing w:after="120" w:line="480" w:lineRule="auto"/>
    </w:pPr>
  </w:style>
  <w:style w:type="paragraph" w:styleId="941">
    <w:name w:val="Body Text 3"/>
    <w:basedOn w:val="748"/>
    <w:pPr>
      <w:spacing w:after="120"/>
    </w:pPr>
    <w:rPr>
      <w:sz w:val="16"/>
      <w:szCs w:val="16"/>
    </w:rPr>
  </w:style>
  <w:style w:type="paragraph" w:styleId="942">
    <w:name w:val="Body Text Indent 3"/>
    <w:basedOn w:val="748"/>
    <w:link w:val="1037"/>
    <w:uiPriority w:val="99"/>
    <w:pPr>
      <w:ind w:left="283"/>
      <w:spacing w:after="120"/>
    </w:pPr>
    <w:rPr>
      <w:sz w:val="16"/>
      <w:szCs w:val="16"/>
    </w:rPr>
  </w:style>
  <w:style w:type="paragraph" w:styleId="943">
    <w:name w:val="Body Text 2"/>
    <w:basedOn w:val="748"/>
    <w:pPr>
      <w:spacing w:after="120" w:line="480" w:lineRule="auto"/>
    </w:pPr>
  </w:style>
  <w:style w:type="paragraph" w:styleId="944">
    <w:name w:val="Block Text"/>
    <w:basedOn w:val="748"/>
    <w:pPr>
      <w:ind w:left="-567" w:right="-766"/>
      <w:jc w:val="center"/>
    </w:pPr>
    <w:rPr>
      <w:b/>
      <w:bCs/>
      <w:sz w:val="24"/>
      <w:szCs w:val="20"/>
    </w:rPr>
  </w:style>
  <w:style w:type="paragraph" w:styleId="945" w:customStyle="1">
    <w:name w:val="Подпункт"/>
    <w:basedOn w:val="748"/>
    <w:link w:val="1001"/>
    <w:pPr>
      <w:ind w:left="1134" w:hanging="1134"/>
      <w:jc w:val="both"/>
      <w:spacing w:line="360" w:lineRule="auto"/>
      <w:tabs>
        <w:tab w:val="num" w:pos="1134" w:leader="none"/>
      </w:tabs>
    </w:pPr>
    <w:rPr>
      <w:sz w:val="20"/>
      <w:szCs w:val="20"/>
    </w:rPr>
  </w:style>
  <w:style w:type="paragraph" w:styleId="946" w:customStyle="1">
    <w:name w:val="Пункт2"/>
    <w:basedOn w:val="748"/>
    <w:link w:val="1027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 w:val="20"/>
      <w:szCs w:val="20"/>
    </w:rPr>
  </w:style>
  <w:style w:type="character" w:styleId="947">
    <w:name w:val="page number"/>
    <w:basedOn w:val="758"/>
  </w:style>
  <w:style w:type="paragraph" w:styleId="948">
    <w:name w:val="toc 1"/>
    <w:basedOn w:val="748"/>
    <w:next w:val="748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49">
    <w:name w:val="toc 3"/>
    <w:basedOn w:val="748"/>
    <w:next w:val="748"/>
    <w:uiPriority w:val="39"/>
    <w:pPr>
      <w:ind w:left="280"/>
    </w:pPr>
    <w:rPr>
      <w:rFonts w:cstheme="minorHAnsi"/>
      <w:sz w:val="20"/>
      <w:szCs w:val="20"/>
    </w:rPr>
  </w:style>
  <w:style w:type="character" w:styleId="950">
    <w:name w:val="Hyperlink"/>
    <w:uiPriority w:val="99"/>
    <w:rPr>
      <w:color w:val="0000ff"/>
      <w:u w:val="single"/>
    </w:rPr>
  </w:style>
  <w:style w:type="paragraph" w:styleId="951" w:customStyle="1">
    <w:name w:val="Раздел регламента"/>
    <w:basedOn w:val="748"/>
  </w:style>
  <w:style w:type="paragraph" w:styleId="952" w:customStyle="1">
    <w:name w:val="Приложение к регламенту"/>
    <w:basedOn w:val="748"/>
    <w:pPr>
      <w:jc w:val="right"/>
    </w:pPr>
  </w:style>
  <w:style w:type="paragraph" w:styleId="953">
    <w:name w:val="toc 2"/>
    <w:basedOn w:val="748"/>
    <w:next w:val="748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54">
    <w:name w:val="Balloon Text"/>
    <w:basedOn w:val="748"/>
    <w:semiHidden/>
    <w:rPr>
      <w:rFonts w:ascii="Tahoma" w:hAnsi="Tahoma" w:cs="Tahoma"/>
      <w:sz w:val="16"/>
      <w:szCs w:val="16"/>
    </w:rPr>
  </w:style>
  <w:style w:type="character" w:styleId="955">
    <w:name w:val="annotation reference"/>
    <w:uiPriority w:val="99"/>
    <w:semiHidden/>
    <w:rPr>
      <w:sz w:val="16"/>
      <w:szCs w:val="16"/>
    </w:rPr>
  </w:style>
  <w:style w:type="paragraph" w:styleId="956">
    <w:name w:val="annotation text"/>
    <w:basedOn w:val="748"/>
    <w:link w:val="1021"/>
    <w:semiHidden/>
    <w:rPr>
      <w:sz w:val="20"/>
      <w:szCs w:val="20"/>
    </w:rPr>
  </w:style>
  <w:style w:type="paragraph" w:styleId="957">
    <w:name w:val="annotation subject"/>
    <w:basedOn w:val="956"/>
    <w:next w:val="956"/>
    <w:semiHidden/>
    <w:rPr>
      <w:b/>
      <w:bCs/>
    </w:rPr>
  </w:style>
  <w:style w:type="paragraph" w:styleId="958" w:customStyle="1">
    <w:name w:val="Обычный (веб)1"/>
    <w:basedOn w:val="748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59">
    <w:name w:val="toc 9"/>
    <w:basedOn w:val="748"/>
    <w:next w:val="748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60">
    <w:name w:val="toc 5"/>
    <w:basedOn w:val="748"/>
    <w:next w:val="748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61">
    <w:name w:val="toc 4"/>
    <w:basedOn w:val="748"/>
    <w:next w:val="748"/>
    <w:uiPriority w:val="39"/>
    <w:pPr>
      <w:ind w:left="560"/>
    </w:pPr>
    <w:rPr>
      <w:rFonts w:cstheme="minorHAnsi"/>
      <w:sz w:val="20"/>
      <w:szCs w:val="20"/>
    </w:rPr>
  </w:style>
  <w:style w:type="paragraph" w:styleId="962" w:customStyle="1">
    <w:name w:val="Раздел положения 2"/>
    <w:basedOn w:val="748"/>
    <w:pPr>
      <w:jc w:val="both"/>
      <w:pageBreakBefore/>
      <w:outlineLvl w:val="0"/>
    </w:pPr>
    <w:rPr>
      <w:b/>
    </w:rPr>
  </w:style>
  <w:style w:type="character" w:styleId="963">
    <w:name w:val="Strong"/>
    <w:qFormat/>
    <w:rPr>
      <w:b/>
      <w:bCs/>
    </w:rPr>
  </w:style>
  <w:style w:type="character" w:styleId="964" w:customStyle="1">
    <w:name w:val="Заголовок 6 Знак"/>
    <w:link w:val="754"/>
    <w:uiPriority w:val="9"/>
    <w:rPr>
      <w:rFonts w:ascii="Cambria" w:hAnsi="Cambria"/>
      <w:i/>
      <w:iCs/>
      <w:color w:val="243f60"/>
    </w:rPr>
  </w:style>
  <w:style w:type="character" w:styleId="965" w:customStyle="1">
    <w:name w:val="Заголовок 7 Знак"/>
    <w:link w:val="755"/>
    <w:uiPriority w:val="9"/>
    <w:rPr>
      <w:rFonts w:ascii="Cambria" w:hAnsi="Cambria"/>
      <w:i/>
      <w:iCs/>
      <w:color w:val="404040"/>
    </w:rPr>
  </w:style>
  <w:style w:type="character" w:styleId="966" w:customStyle="1">
    <w:name w:val="Заголовок 8 Знак"/>
    <w:link w:val="756"/>
    <w:uiPriority w:val="9"/>
    <w:rPr>
      <w:rFonts w:ascii="Cambria" w:hAnsi="Cambria"/>
      <w:color w:val="4f81bd"/>
    </w:rPr>
  </w:style>
  <w:style w:type="character" w:styleId="967" w:customStyle="1">
    <w:name w:val="Заголовок 1 Знак"/>
    <w:link w:val="749"/>
    <w:rPr>
      <w:rFonts w:eastAsia="Calibri"/>
      <w:b/>
      <w:sz w:val="28"/>
      <w:szCs w:val="28"/>
    </w:rPr>
  </w:style>
  <w:style w:type="paragraph" w:styleId="968" w:customStyle="1">
    <w:name w:val="Знак Знак Знак Знак Знак Знак Знак Знак Знак"/>
    <w:basedOn w:val="748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69" w:customStyle="1">
    <w:name w:val="Заголовок 2 Знак"/>
    <w:link w:val="750"/>
    <w:rPr>
      <w:rFonts w:eastAsia="Calibri"/>
      <w:b/>
      <w:bCs/>
      <w:sz w:val="24"/>
      <w:szCs w:val="24"/>
    </w:rPr>
  </w:style>
  <w:style w:type="character" w:styleId="970" w:customStyle="1">
    <w:name w:val="Заголовок 3 Знак"/>
    <w:link w:val="751"/>
    <w:rPr>
      <w:rFonts w:eastAsia="Calibri"/>
      <w:b/>
      <w:sz w:val="24"/>
      <w:szCs w:val="24"/>
    </w:rPr>
  </w:style>
  <w:style w:type="character" w:styleId="971" w:customStyle="1">
    <w:name w:val="Заголовок 4 Знак"/>
    <w:link w:val="752"/>
    <w:rPr>
      <w:rFonts w:eastAsia="Calibri"/>
      <w:b/>
      <w:bCs/>
      <w:sz w:val="24"/>
      <w:szCs w:val="24"/>
    </w:rPr>
  </w:style>
  <w:style w:type="character" w:styleId="972" w:customStyle="1">
    <w:name w:val="Заголовок 5 Знак"/>
    <w:link w:val="753"/>
    <w:uiPriority w:val="9"/>
    <w:rPr>
      <w:b/>
      <w:bCs/>
      <w:i/>
      <w:iCs/>
      <w:sz w:val="26"/>
      <w:szCs w:val="26"/>
    </w:rPr>
  </w:style>
  <w:style w:type="character" w:styleId="973" w:customStyle="1">
    <w:name w:val="Заголовок 9 Знак"/>
    <w:link w:val="757"/>
    <w:uiPriority w:val="9"/>
    <w:rPr>
      <w:rFonts w:ascii="Arial" w:hAnsi="Arial" w:cs="Arial"/>
      <w:sz w:val="22"/>
      <w:szCs w:val="22"/>
    </w:rPr>
  </w:style>
  <w:style w:type="paragraph" w:styleId="974">
    <w:name w:val="No Spacing"/>
    <w:basedOn w:val="748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75">
    <w:name w:val="Caption"/>
    <w:basedOn w:val="748"/>
    <w:next w:val="748"/>
    <w:link w:val="798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76" w:customStyle="1">
    <w:name w:val="Название Знак"/>
    <w:link w:val="934"/>
    <w:uiPriority w:val="10"/>
    <w:rPr>
      <w:sz w:val="28"/>
    </w:rPr>
  </w:style>
  <w:style w:type="paragraph" w:styleId="977">
    <w:name w:val="Subtitle"/>
    <w:basedOn w:val="748"/>
    <w:next w:val="748"/>
    <w:link w:val="978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78" w:customStyle="1">
    <w:name w:val="Подзаголовок Знак"/>
    <w:link w:val="977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79">
    <w:name w:val="Emphasis"/>
    <w:uiPriority w:val="20"/>
    <w:qFormat/>
    <w:rPr>
      <w:i/>
      <w:iCs/>
    </w:rPr>
  </w:style>
  <w:style w:type="paragraph" w:styleId="980">
    <w:name w:val="List Paragraph"/>
    <w:basedOn w:val="748"/>
    <w:link w:val="1010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81">
    <w:name w:val="Quote"/>
    <w:basedOn w:val="748"/>
    <w:next w:val="748"/>
    <w:link w:val="982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82" w:customStyle="1">
    <w:name w:val="Цитата 2 Знак"/>
    <w:link w:val="981"/>
    <w:uiPriority w:val="29"/>
    <w:rPr>
      <w:rFonts w:ascii="Calibri" w:hAnsi="Calibri" w:eastAsia="Calibri"/>
      <w:i/>
      <w:iCs/>
      <w:color w:val="000000"/>
    </w:rPr>
  </w:style>
  <w:style w:type="paragraph" w:styleId="983">
    <w:name w:val="Intense Quote"/>
    <w:basedOn w:val="748"/>
    <w:next w:val="748"/>
    <w:link w:val="984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84" w:customStyle="1">
    <w:name w:val="Выделенная цитата Знак"/>
    <w:link w:val="983"/>
    <w:uiPriority w:val="30"/>
    <w:rPr>
      <w:rFonts w:ascii="Calibri" w:hAnsi="Calibri" w:eastAsia="Calibri"/>
      <w:b/>
      <w:bCs/>
      <w:i/>
      <w:iCs/>
      <w:color w:val="4f81bd"/>
    </w:rPr>
  </w:style>
  <w:style w:type="character" w:styleId="985">
    <w:name w:val="Subtle Emphasis"/>
    <w:uiPriority w:val="19"/>
    <w:qFormat/>
    <w:rPr>
      <w:i/>
      <w:iCs/>
      <w:color w:val="808080"/>
    </w:rPr>
  </w:style>
  <w:style w:type="character" w:styleId="986">
    <w:name w:val="Intense Emphasis"/>
    <w:uiPriority w:val="21"/>
    <w:qFormat/>
    <w:rPr>
      <w:b/>
      <w:bCs/>
      <w:i/>
      <w:iCs/>
      <w:color w:val="4f81bd"/>
    </w:rPr>
  </w:style>
  <w:style w:type="character" w:styleId="987">
    <w:name w:val="Subtle Reference"/>
    <w:uiPriority w:val="31"/>
    <w:qFormat/>
    <w:rPr>
      <w:smallCaps/>
      <w:color w:val="c0504d"/>
      <w:u w:val="single"/>
    </w:rPr>
  </w:style>
  <w:style w:type="character" w:styleId="98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89">
    <w:name w:val="Book Title"/>
    <w:uiPriority w:val="33"/>
    <w:qFormat/>
    <w:rPr>
      <w:b/>
      <w:bCs/>
      <w:smallCaps/>
      <w:spacing w:val="5"/>
    </w:rPr>
  </w:style>
  <w:style w:type="paragraph" w:styleId="990">
    <w:name w:val="TOC Heading"/>
    <w:basedOn w:val="749"/>
    <w:next w:val="748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91">
    <w:name w:val="E-mail Signature"/>
    <w:basedOn w:val="748"/>
    <w:link w:val="992"/>
    <w:uiPriority w:val="99"/>
    <w:unhideWhenUsed/>
    <w:rPr>
      <w:rFonts w:eastAsia="Calibri"/>
      <w:sz w:val="24"/>
      <w:szCs w:val="24"/>
    </w:rPr>
  </w:style>
  <w:style w:type="character" w:styleId="992" w:customStyle="1">
    <w:name w:val="Электронная подпись Знак"/>
    <w:link w:val="991"/>
    <w:uiPriority w:val="99"/>
    <w:rPr>
      <w:rFonts w:eastAsia="Calibri"/>
      <w:sz w:val="24"/>
      <w:szCs w:val="24"/>
    </w:rPr>
  </w:style>
  <w:style w:type="paragraph" w:styleId="993" w:customStyle="1">
    <w:name w:val="Знак"/>
    <w:basedOn w:val="74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94" w:customStyle="1">
    <w:name w:val="Нумерованный список ур3"/>
    <w:basedOn w:val="748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95" w:customStyle="1">
    <w:name w:val="Нумерованный список 1"/>
    <w:basedOn w:val="748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96" w:customStyle="1">
    <w:name w:val="Нумерованный список ур2"/>
    <w:basedOn w:val="748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97">
    <w:name w:val="Revision"/>
    <w:hidden/>
    <w:uiPriority w:val="99"/>
    <w:semiHidden/>
    <w:rPr>
      <w:rFonts w:eastAsia="Calibri"/>
      <w:sz w:val="24"/>
      <w:szCs w:val="24"/>
    </w:rPr>
  </w:style>
  <w:style w:type="paragraph" w:styleId="998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99" w:customStyle="1">
    <w:name w:val="Знак Знак3 Знак Знак"/>
    <w:basedOn w:val="748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00" w:customStyle="1">
    <w:name w:val="Пункт"/>
    <w:basedOn w:val="748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 w:val="20"/>
      <w:szCs w:val="20"/>
    </w:rPr>
  </w:style>
  <w:style w:type="character" w:styleId="1001" w:customStyle="1">
    <w:name w:val="Подпункт Знак1"/>
    <w:link w:val="945"/>
    <w:rPr>
      <w:sz w:val="28"/>
    </w:rPr>
  </w:style>
  <w:style w:type="paragraph" w:styleId="1002" w:customStyle="1">
    <w:name w:val="Абзац списка1"/>
    <w:basedOn w:val="748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03" w:customStyle="1">
    <w:name w:val="Текст сноски Знак"/>
    <w:link w:val="929"/>
    <w:uiPriority w:val="99"/>
  </w:style>
  <w:style w:type="numbering" w:styleId="1004" w:customStyle="1">
    <w:name w:val="Стиль1"/>
    <w:uiPriority w:val="99"/>
    <w:pPr>
      <w:numPr>
        <w:ilvl w:val="0"/>
        <w:numId w:val="3"/>
      </w:numPr>
    </w:pPr>
  </w:style>
  <w:style w:type="paragraph" w:styleId="1005" w:customStyle="1">
    <w:name w:val="Таблица"/>
    <w:basedOn w:val="748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06" w:customStyle="1">
    <w:name w:val="Основной текст Знак"/>
    <w:link w:val="939"/>
    <w:rPr>
      <w:sz w:val="28"/>
      <w:szCs w:val="28"/>
    </w:rPr>
  </w:style>
  <w:style w:type="character" w:styleId="1007" w:customStyle="1">
    <w:name w:val="blk"/>
  </w:style>
  <w:style w:type="numbering" w:styleId="1008" w:customStyle="1">
    <w:name w:val="Стиль2"/>
    <w:uiPriority w:val="99"/>
    <w:pPr>
      <w:numPr>
        <w:ilvl w:val="0"/>
        <w:numId w:val="5"/>
      </w:numPr>
    </w:pPr>
  </w:style>
  <w:style w:type="paragraph" w:styleId="1009" w:customStyle="1">
    <w:name w:val="Таблица шапка"/>
    <w:basedOn w:val="748"/>
    <w:pPr>
      <w:ind w:left="57" w:right="57"/>
      <w:keepNext/>
      <w:spacing w:before="40" w:after="40"/>
    </w:pPr>
    <w:rPr>
      <w:sz w:val="22"/>
      <w:szCs w:val="26"/>
    </w:rPr>
  </w:style>
  <w:style w:type="character" w:styleId="1010" w:customStyle="1">
    <w:name w:val="Абзац списка Знак"/>
    <w:link w:val="980"/>
    <w:uiPriority w:val="34"/>
    <w:qFormat/>
    <w:rPr>
      <w:rFonts w:eastAsia="Calibri"/>
      <w:sz w:val="24"/>
      <w:szCs w:val="24"/>
    </w:rPr>
  </w:style>
  <w:style w:type="character" w:styleId="1011" w:customStyle="1">
    <w:name w:val="комментарий"/>
    <w:rPr>
      <w:b/>
      <w:i/>
      <w:shd w:val="clear" w:color="auto" w:fill="ffff99"/>
    </w:rPr>
  </w:style>
  <w:style w:type="paragraph" w:styleId="1012" w:customStyle="1">
    <w:name w:val="Подподпункт"/>
    <w:basedOn w:val="945"/>
    <w:link w:val="1013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13" w:customStyle="1">
    <w:name w:val="Подподпункт Знак"/>
    <w:link w:val="1012"/>
    <w:rPr>
      <w:sz w:val="26"/>
      <w:szCs w:val="26"/>
    </w:rPr>
  </w:style>
  <w:style w:type="paragraph" w:styleId="1014" w:customStyle="1">
    <w:name w:val="УРОВЕНЬ_(а)"/>
    <w:basedOn w:val="980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15" w:customStyle="1">
    <w:name w:val="УРОВЕНЬ_-"/>
    <w:basedOn w:val="980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16" w:customStyle="1">
    <w:name w:val="УРОВЕНЬ_Абзац_тип2"/>
    <w:basedOn w:val="980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17" w:customStyle="1">
    <w:name w:val="УРОВЕНЬ_Абзац_тип3"/>
    <w:basedOn w:val="980"/>
    <w:link w:val="1019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18" w:customStyle="1">
    <w:name w:val="УРОВЕНЬ_Подпись"/>
    <w:basedOn w:val="980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19" w:customStyle="1">
    <w:name w:val="УРОВЕНЬ_Абзац_тип3 Знак"/>
    <w:link w:val="1017"/>
    <w:rPr>
      <w:rFonts w:eastAsia="Calibri"/>
      <w:sz w:val="26"/>
      <w:szCs w:val="28"/>
      <w:lang w:eastAsia="en-US"/>
    </w:rPr>
  </w:style>
  <w:style w:type="character" w:styleId="1020" w:customStyle="1">
    <w:name w:val="Верхний колонтитул Знак"/>
    <w:link w:val="935"/>
    <w:uiPriority w:val="99"/>
    <w:rPr>
      <w:sz w:val="24"/>
      <w:szCs w:val="24"/>
    </w:rPr>
  </w:style>
  <w:style w:type="character" w:styleId="1021" w:customStyle="1">
    <w:name w:val="Текст примечания Знак"/>
    <w:link w:val="956"/>
    <w:semiHidden/>
  </w:style>
  <w:style w:type="paragraph" w:styleId="1022" w:customStyle="1">
    <w:name w:val="Стиль Заголовок 1 + по ширине"/>
    <w:basedOn w:val="749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23">
    <w:name w:val="endnote text"/>
    <w:basedOn w:val="748"/>
    <w:link w:val="1024"/>
    <w:rPr>
      <w:sz w:val="20"/>
      <w:szCs w:val="20"/>
    </w:rPr>
  </w:style>
  <w:style w:type="character" w:styleId="1024" w:customStyle="1">
    <w:name w:val="Текст концевой сноски Знак"/>
    <w:basedOn w:val="758"/>
    <w:link w:val="1023"/>
  </w:style>
  <w:style w:type="character" w:styleId="1025">
    <w:name w:val="endnote reference"/>
    <w:basedOn w:val="758"/>
    <w:rPr>
      <w:vertAlign w:val="superscript"/>
    </w:rPr>
  </w:style>
  <w:style w:type="paragraph" w:styleId="1026" w:customStyle="1">
    <w:name w:val="Заголовок 2 КВВ"/>
    <w:basedOn w:val="748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27" w:customStyle="1">
    <w:name w:val="Пункт2 Знак"/>
    <w:link w:val="946"/>
    <w:rPr>
      <w:b/>
      <w:sz w:val="28"/>
    </w:rPr>
  </w:style>
  <w:style w:type="paragraph" w:styleId="1028" w:customStyle="1">
    <w:name w:val="Таблица текст"/>
    <w:basedOn w:val="748"/>
    <w:pPr>
      <w:ind w:left="57" w:right="57"/>
      <w:spacing w:before="40" w:after="40"/>
    </w:pPr>
    <w:rPr>
      <w:sz w:val="24"/>
      <w:szCs w:val="26"/>
    </w:rPr>
  </w:style>
  <w:style w:type="paragraph" w:styleId="1029">
    <w:name w:val="Normal (Web)"/>
    <w:basedOn w:val="748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30" w:customStyle="1">
    <w:name w:val="УРОВЕНЬ_1."/>
    <w:basedOn w:val="980"/>
    <w:link w:val="1031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31" w:customStyle="1">
    <w:name w:val="УРОВЕНЬ_1. Знак"/>
    <w:link w:val="1030"/>
    <w:rPr>
      <w:rFonts w:eastAsia="Calibri"/>
      <w:caps/>
      <w:sz w:val="28"/>
      <w:szCs w:val="28"/>
      <w:lang w:eastAsia="en-US"/>
    </w:rPr>
  </w:style>
  <w:style w:type="table" w:styleId="1032" w:customStyle="1">
    <w:name w:val="Сетка таблицы1"/>
    <w:basedOn w:val="759"/>
    <w:next w:val="937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33">
    <w:name w:val="toc 6"/>
    <w:basedOn w:val="748"/>
    <w:next w:val="748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34">
    <w:name w:val="toc 7"/>
    <w:basedOn w:val="748"/>
    <w:next w:val="748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35">
    <w:name w:val="toc 8"/>
    <w:basedOn w:val="748"/>
    <w:next w:val="748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36" w:customStyle="1">
    <w:name w:val="Неразрешенное упоминание1"/>
    <w:basedOn w:val="758"/>
    <w:uiPriority w:val="99"/>
    <w:semiHidden/>
    <w:unhideWhenUsed/>
    <w:rPr>
      <w:color w:val="605e5c"/>
      <w:shd w:val="clear" w:color="auto" w:fill="e1dfdd"/>
    </w:rPr>
  </w:style>
  <w:style w:type="character" w:styleId="1037" w:customStyle="1">
    <w:name w:val="Основной текст с отступом 3 Знак"/>
    <w:link w:val="942"/>
    <w:uiPriority w:val="99"/>
    <w:rPr>
      <w:sz w:val="16"/>
      <w:szCs w:val="16"/>
    </w:rPr>
  </w:style>
  <w:style w:type="character" w:styleId="1038" w:customStyle="1">
    <w:name w:val="Нижний колонтитул Знак"/>
    <w:link w:val="938"/>
    <w:uiPriority w:val="99"/>
    <w:rPr>
      <w:sz w:val="28"/>
      <w:szCs w:val="28"/>
    </w:rPr>
  </w:style>
  <w:style w:type="table" w:styleId="1039" w:customStyle="1">
    <w:name w:val="Grid Table 5 Dark - Accent 3"/>
    <w:basedOn w:val="75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paragraph" w:styleId="1040" w:customStyle="1">
    <w:name w:val="Заголовок 41"/>
    <w:qFormat/>
    <w:pPr>
      <w:ind w:left="1440" w:hanging="720"/>
      <w:keepNext/>
      <w:spacing w:before="120" w:after="60"/>
      <w:tabs>
        <w:tab w:val="num" w:pos="1440" w:leader="none"/>
        <w:tab w:val="num" w:pos="21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</w:pPr>
    <w:rPr>
      <w:rFonts w:eastAsia="Calibri"/>
      <w:b/>
      <w:bCs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821B0F50-46C4-4B85-8D25-A15EC3FA61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lutfullina_ee</cp:lastModifiedBy>
  <cp:revision>24</cp:revision>
  <dcterms:created xsi:type="dcterms:W3CDTF">2026-04-10T00:53:00Z</dcterms:created>
  <dcterms:modified xsi:type="dcterms:W3CDTF">2026-05-13T05:24:43Z</dcterms:modified>
</cp:coreProperties>
</file>